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3866" w14:textId="77777777" w:rsidR="00270519" w:rsidRDefault="00270519" w:rsidP="00A81706">
      <w:pPr>
        <w:pStyle w:val="AsuntoAPV"/>
        <w:ind w:left="0"/>
        <w:rPr>
          <w:sz w:val="22"/>
          <w:szCs w:val="22"/>
        </w:rPr>
      </w:pPr>
    </w:p>
    <w:p w14:paraId="584658AE" w14:textId="16F0114B" w:rsidR="009256A0" w:rsidRPr="00A81706" w:rsidRDefault="0012561F" w:rsidP="00A81706">
      <w:pPr>
        <w:pStyle w:val="AsuntoAPV"/>
        <w:ind w:left="0"/>
        <w:rPr>
          <w:sz w:val="22"/>
          <w:szCs w:val="22"/>
        </w:rPr>
      </w:pPr>
      <w:r w:rsidRPr="00A81706">
        <w:rPr>
          <w:sz w:val="22"/>
          <w:szCs w:val="22"/>
        </w:rPr>
        <w:t xml:space="preserve">Asunto | </w:t>
      </w:r>
      <w:r w:rsidR="00707882" w:rsidRPr="00A81706">
        <w:rPr>
          <w:sz w:val="22"/>
          <w:szCs w:val="22"/>
        </w:rPr>
        <w:t>Evolución de los expedientes sancionadores tramitados en</w:t>
      </w:r>
      <w:r w:rsidR="00A81706">
        <w:rPr>
          <w:sz w:val="22"/>
          <w:szCs w:val="22"/>
        </w:rPr>
        <w:t xml:space="preserve"> </w:t>
      </w:r>
      <w:r w:rsidR="00D84E29" w:rsidRPr="00A81706">
        <w:rPr>
          <w:sz w:val="22"/>
          <w:szCs w:val="22"/>
        </w:rPr>
        <w:t xml:space="preserve">la </w:t>
      </w:r>
      <w:r w:rsidR="00447F6C" w:rsidRPr="00A81706">
        <w:rPr>
          <w:sz w:val="22"/>
          <w:szCs w:val="22"/>
        </w:rPr>
        <w:t xml:space="preserve">Autoridad Portuaria de Valencia </w:t>
      </w:r>
      <w:r w:rsidR="00A81706">
        <w:rPr>
          <w:sz w:val="22"/>
          <w:szCs w:val="22"/>
        </w:rPr>
        <w:t xml:space="preserve">en los </w:t>
      </w:r>
      <w:r w:rsidR="00447F6C" w:rsidRPr="00A81706">
        <w:rPr>
          <w:sz w:val="22"/>
          <w:szCs w:val="22"/>
        </w:rPr>
        <w:t>años 2019 a 2023</w:t>
      </w:r>
    </w:p>
    <w:p w14:paraId="27433BF3" w14:textId="77777777" w:rsidR="00447F6C" w:rsidRDefault="00447F6C" w:rsidP="00012FA4">
      <w:pPr>
        <w:pStyle w:val="AsuntoAPV"/>
        <w:ind w:left="0"/>
        <w:rPr>
          <w:sz w:val="20"/>
          <w:szCs w:val="20"/>
          <w:u w:val="single"/>
        </w:rPr>
      </w:pPr>
    </w:p>
    <w:p w14:paraId="7F8885FF" w14:textId="40736DAC" w:rsidR="007A7450" w:rsidRPr="00FB5B64" w:rsidRDefault="006315AC" w:rsidP="00012FA4">
      <w:pPr>
        <w:pStyle w:val="AsuntoAPV"/>
        <w:ind w:left="0"/>
        <w:rPr>
          <w:sz w:val="20"/>
          <w:szCs w:val="20"/>
          <w:u w:val="single"/>
        </w:rPr>
      </w:pPr>
      <w:r w:rsidRPr="00FB5B64">
        <w:rPr>
          <w:sz w:val="20"/>
          <w:szCs w:val="20"/>
          <w:u w:val="single"/>
        </w:rPr>
        <w:t>Introducción</w:t>
      </w:r>
    </w:p>
    <w:p w14:paraId="33D11282" w14:textId="595F924C" w:rsidR="00E037DE" w:rsidRDefault="007A7450" w:rsidP="00012FA4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Los procedimientos sancionadores se incoan </w:t>
      </w:r>
      <w:r w:rsidR="006315AC">
        <w:rPr>
          <w:b w:val="0"/>
          <w:bCs w:val="0"/>
          <w:sz w:val="20"/>
          <w:szCs w:val="20"/>
        </w:rPr>
        <w:t xml:space="preserve">como consecuencia de </w:t>
      </w:r>
      <w:r>
        <w:rPr>
          <w:b w:val="0"/>
          <w:bCs w:val="0"/>
          <w:sz w:val="20"/>
          <w:szCs w:val="20"/>
        </w:rPr>
        <w:t>infracciones administrativas en el ámbito portuario estatal</w:t>
      </w:r>
      <w:r w:rsidR="00E037DE">
        <w:rPr>
          <w:b w:val="0"/>
          <w:bCs w:val="0"/>
          <w:sz w:val="20"/>
          <w:szCs w:val="20"/>
        </w:rPr>
        <w:t xml:space="preserve">, constituyendo éstas las acciones y omisiones tipificadas en los artículos 306 a 308 del RD 2/2011, de 5 de septiembre, por el que se aprueba el Texto Refundido de la Ley de Puertos del Estado y de la Marina Mercante, en adelante </w:t>
      </w:r>
      <w:r w:rsidR="00751652">
        <w:rPr>
          <w:b w:val="0"/>
          <w:bCs w:val="0"/>
          <w:sz w:val="20"/>
          <w:szCs w:val="20"/>
        </w:rPr>
        <w:t>TR</w:t>
      </w:r>
      <w:r w:rsidR="00E037DE">
        <w:rPr>
          <w:b w:val="0"/>
          <w:bCs w:val="0"/>
          <w:sz w:val="20"/>
          <w:szCs w:val="20"/>
        </w:rPr>
        <w:t>LPEMM.</w:t>
      </w:r>
    </w:p>
    <w:p w14:paraId="177AA1EF" w14:textId="12E605F1" w:rsidR="007A7450" w:rsidRDefault="00E037DE" w:rsidP="00012FA4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La regulación procedimental para la tramitación de los expedientes sancionadores la encontramos en la Ley 39/2015, de 1 de octubre, del Procedimiento Administrativo Común de las Administraciones Públicas, en adelante LPACAP, no exist</w:t>
      </w:r>
      <w:r w:rsidR="00FB5B64">
        <w:rPr>
          <w:b w:val="0"/>
          <w:bCs w:val="0"/>
          <w:sz w:val="20"/>
          <w:szCs w:val="20"/>
        </w:rPr>
        <w:t>iendo</w:t>
      </w:r>
      <w:r>
        <w:rPr>
          <w:b w:val="0"/>
          <w:bCs w:val="0"/>
          <w:sz w:val="20"/>
          <w:szCs w:val="20"/>
        </w:rPr>
        <w:t xml:space="preserve"> un procedimiento administrativo especial para la imposición de sanciones, </w:t>
      </w:r>
      <w:r w:rsidR="00FB5B64">
        <w:rPr>
          <w:b w:val="0"/>
          <w:bCs w:val="0"/>
          <w:sz w:val="20"/>
          <w:szCs w:val="20"/>
        </w:rPr>
        <w:t xml:space="preserve">por lo que debe </w:t>
      </w:r>
      <w:r>
        <w:rPr>
          <w:b w:val="0"/>
          <w:bCs w:val="0"/>
          <w:sz w:val="20"/>
          <w:szCs w:val="20"/>
        </w:rPr>
        <w:t>r</w:t>
      </w:r>
      <w:r w:rsidR="00FB5B64">
        <w:rPr>
          <w:b w:val="0"/>
          <w:bCs w:val="0"/>
          <w:sz w:val="20"/>
          <w:szCs w:val="20"/>
        </w:rPr>
        <w:t>e</w:t>
      </w:r>
      <w:r>
        <w:rPr>
          <w:b w:val="0"/>
          <w:bCs w:val="0"/>
          <w:sz w:val="20"/>
          <w:szCs w:val="20"/>
        </w:rPr>
        <w:t>gi</w:t>
      </w:r>
      <w:r w:rsidR="00FB5B64">
        <w:rPr>
          <w:b w:val="0"/>
          <w:bCs w:val="0"/>
          <w:sz w:val="20"/>
          <w:szCs w:val="20"/>
        </w:rPr>
        <w:t>rse</w:t>
      </w:r>
      <w:r>
        <w:rPr>
          <w:b w:val="0"/>
          <w:bCs w:val="0"/>
          <w:sz w:val="20"/>
          <w:szCs w:val="20"/>
        </w:rPr>
        <w:t xml:space="preserve"> esta materia por las normas del procedimiento común con puntuales especialidades.</w:t>
      </w:r>
      <w:r w:rsidR="006315AC">
        <w:rPr>
          <w:b w:val="0"/>
          <w:bCs w:val="0"/>
          <w:sz w:val="20"/>
          <w:szCs w:val="20"/>
        </w:rPr>
        <w:t xml:space="preserve"> </w:t>
      </w:r>
      <w:r w:rsidR="00F30C7A">
        <w:rPr>
          <w:b w:val="0"/>
          <w:bCs w:val="0"/>
          <w:sz w:val="20"/>
          <w:szCs w:val="20"/>
        </w:rPr>
        <w:t xml:space="preserve">El </w:t>
      </w:r>
      <w:r w:rsidR="006315AC">
        <w:rPr>
          <w:b w:val="0"/>
          <w:bCs w:val="0"/>
          <w:sz w:val="20"/>
          <w:szCs w:val="20"/>
        </w:rPr>
        <w:t xml:space="preserve">plazo </w:t>
      </w:r>
      <w:r w:rsidR="00F30C7A">
        <w:rPr>
          <w:b w:val="0"/>
          <w:bCs w:val="0"/>
          <w:sz w:val="20"/>
          <w:szCs w:val="20"/>
        </w:rPr>
        <w:t xml:space="preserve">máximo </w:t>
      </w:r>
      <w:r w:rsidR="006315AC">
        <w:rPr>
          <w:b w:val="0"/>
          <w:bCs w:val="0"/>
          <w:sz w:val="20"/>
          <w:szCs w:val="20"/>
        </w:rPr>
        <w:t xml:space="preserve">legal de tramitación </w:t>
      </w:r>
      <w:r w:rsidR="00FB5B64">
        <w:rPr>
          <w:b w:val="0"/>
          <w:bCs w:val="0"/>
          <w:sz w:val="20"/>
          <w:szCs w:val="20"/>
        </w:rPr>
        <w:t xml:space="preserve">de los expedientes </w:t>
      </w:r>
      <w:r w:rsidR="00F30C7A">
        <w:rPr>
          <w:b w:val="0"/>
          <w:bCs w:val="0"/>
          <w:sz w:val="20"/>
          <w:szCs w:val="20"/>
        </w:rPr>
        <w:t xml:space="preserve">es </w:t>
      </w:r>
      <w:r w:rsidR="006315AC">
        <w:rPr>
          <w:b w:val="0"/>
          <w:bCs w:val="0"/>
          <w:sz w:val="20"/>
          <w:szCs w:val="20"/>
        </w:rPr>
        <w:t>de 3 meses desde la adopción del acuerdo de iniciación del procedimiento</w:t>
      </w:r>
      <w:r w:rsidR="00AB04E6">
        <w:rPr>
          <w:b w:val="0"/>
          <w:bCs w:val="0"/>
          <w:sz w:val="20"/>
          <w:szCs w:val="20"/>
        </w:rPr>
        <w:t xml:space="preserve"> hasta el dictado de la resolución</w:t>
      </w:r>
      <w:r w:rsidR="0008693F">
        <w:rPr>
          <w:b w:val="0"/>
          <w:bCs w:val="0"/>
          <w:sz w:val="20"/>
          <w:szCs w:val="20"/>
        </w:rPr>
        <w:t xml:space="preserve"> que lo finaliza</w:t>
      </w:r>
      <w:r w:rsidR="00F30C7A">
        <w:rPr>
          <w:b w:val="0"/>
          <w:bCs w:val="0"/>
          <w:sz w:val="20"/>
          <w:szCs w:val="20"/>
        </w:rPr>
        <w:t xml:space="preserve">, </w:t>
      </w:r>
      <w:r w:rsidR="0008693F">
        <w:rPr>
          <w:b w:val="0"/>
          <w:bCs w:val="0"/>
          <w:sz w:val="20"/>
          <w:szCs w:val="20"/>
        </w:rPr>
        <w:t>so pena de incurrir en caducidad del expediente si no se cumple el referido plazo (</w:t>
      </w:r>
      <w:r w:rsidR="00F30C7A">
        <w:rPr>
          <w:b w:val="0"/>
          <w:bCs w:val="0"/>
          <w:sz w:val="20"/>
          <w:szCs w:val="20"/>
        </w:rPr>
        <w:t>art</w:t>
      </w:r>
      <w:r w:rsidR="0008693F">
        <w:rPr>
          <w:b w:val="0"/>
          <w:bCs w:val="0"/>
          <w:sz w:val="20"/>
          <w:szCs w:val="20"/>
        </w:rPr>
        <w:t>ículo</w:t>
      </w:r>
      <w:r w:rsidR="00F30C7A">
        <w:rPr>
          <w:b w:val="0"/>
          <w:bCs w:val="0"/>
          <w:sz w:val="20"/>
          <w:szCs w:val="20"/>
        </w:rPr>
        <w:t xml:space="preserve"> 21</w:t>
      </w:r>
      <w:r w:rsidR="0008693F">
        <w:rPr>
          <w:b w:val="0"/>
          <w:bCs w:val="0"/>
          <w:sz w:val="20"/>
          <w:szCs w:val="20"/>
        </w:rPr>
        <w:t>.2.3</w:t>
      </w:r>
      <w:r w:rsidR="00F30C7A">
        <w:rPr>
          <w:b w:val="0"/>
          <w:bCs w:val="0"/>
          <w:sz w:val="20"/>
          <w:szCs w:val="20"/>
        </w:rPr>
        <w:t xml:space="preserve"> LPACAP</w:t>
      </w:r>
      <w:r w:rsidR="0008693F">
        <w:rPr>
          <w:b w:val="0"/>
          <w:bCs w:val="0"/>
          <w:sz w:val="20"/>
          <w:szCs w:val="20"/>
        </w:rPr>
        <w:t>)</w:t>
      </w:r>
      <w:r w:rsidR="00F30C7A">
        <w:rPr>
          <w:b w:val="0"/>
          <w:bCs w:val="0"/>
          <w:sz w:val="20"/>
          <w:szCs w:val="20"/>
        </w:rPr>
        <w:t>.</w:t>
      </w:r>
      <w:r>
        <w:rPr>
          <w:b w:val="0"/>
          <w:bCs w:val="0"/>
          <w:sz w:val="20"/>
          <w:szCs w:val="20"/>
        </w:rPr>
        <w:t xml:space="preserve">  </w:t>
      </w:r>
      <w:r w:rsidR="007A7450">
        <w:rPr>
          <w:b w:val="0"/>
          <w:bCs w:val="0"/>
          <w:sz w:val="20"/>
          <w:szCs w:val="20"/>
        </w:rPr>
        <w:t xml:space="preserve">  </w:t>
      </w:r>
    </w:p>
    <w:p w14:paraId="60D2CEE9" w14:textId="77777777" w:rsidR="00FB5B64" w:rsidRDefault="00FB5B64" w:rsidP="00012FA4">
      <w:pPr>
        <w:pStyle w:val="AsuntoAPV"/>
        <w:ind w:left="0"/>
        <w:rPr>
          <w:b w:val="0"/>
          <w:bCs w:val="0"/>
          <w:sz w:val="20"/>
          <w:szCs w:val="20"/>
          <w:u w:val="single"/>
        </w:rPr>
      </w:pPr>
    </w:p>
    <w:p w14:paraId="7A20C2A9" w14:textId="01DB9AEB" w:rsidR="006315AC" w:rsidRPr="00FB5B64" w:rsidRDefault="006315AC" w:rsidP="00012FA4">
      <w:pPr>
        <w:pStyle w:val="AsuntoAPV"/>
        <w:ind w:left="0"/>
        <w:rPr>
          <w:sz w:val="20"/>
          <w:szCs w:val="20"/>
          <w:u w:val="single"/>
        </w:rPr>
      </w:pPr>
      <w:r w:rsidRPr="00FB5B64">
        <w:rPr>
          <w:sz w:val="20"/>
          <w:szCs w:val="20"/>
          <w:u w:val="single"/>
        </w:rPr>
        <w:t>Evolución de los expedientes sancionadores en la Autoridad Portuaria de Valencia</w:t>
      </w:r>
    </w:p>
    <w:p w14:paraId="6637C57D" w14:textId="2ABCE8F2" w:rsidR="00447F6C" w:rsidRDefault="00447F6C" w:rsidP="00012FA4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Los expedientes sancionadores tramitados entre los años 2019 a 2023</w:t>
      </w:r>
      <w:r w:rsidR="00270519">
        <w:rPr>
          <w:b w:val="0"/>
          <w:bCs w:val="0"/>
          <w:sz w:val="20"/>
          <w:szCs w:val="20"/>
        </w:rPr>
        <w:t xml:space="preserve"> son</w:t>
      </w:r>
      <w:r>
        <w:rPr>
          <w:b w:val="0"/>
          <w:bCs w:val="0"/>
          <w:sz w:val="20"/>
          <w:szCs w:val="20"/>
        </w:rPr>
        <w:t>:</w:t>
      </w:r>
    </w:p>
    <w:p w14:paraId="11F333E1" w14:textId="77777777" w:rsidR="00447F6C" w:rsidRDefault="00447F6C" w:rsidP="00012FA4">
      <w:pPr>
        <w:pStyle w:val="AsuntoAPV"/>
        <w:ind w:left="0"/>
        <w:rPr>
          <w:b w:val="0"/>
          <w:bCs w:val="0"/>
          <w:sz w:val="20"/>
          <w:szCs w:val="20"/>
        </w:rPr>
      </w:pPr>
    </w:p>
    <w:p w14:paraId="0FB8E1CE" w14:textId="66B45F62" w:rsidR="00447F6C" w:rsidRDefault="00447F6C" w:rsidP="00012FA4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30BC1A3B" wp14:editId="0A11D975">
            <wp:extent cx="5755640" cy="2310130"/>
            <wp:effectExtent l="0" t="0" r="0" b="0"/>
            <wp:docPr id="12" name="Imagen 11" descr="Gráfico, Gráfico de barras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6E9C2ED-27FD-9051-C47B-88B82CFC9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 descr="Gráfico, Gráfico de barras&#10;&#10;Descripción generada automáticamente">
                      <a:extLst>
                        <a:ext uri="{FF2B5EF4-FFF2-40B4-BE49-F238E27FC236}">
                          <a16:creationId xmlns:a16="http://schemas.microsoft.com/office/drawing/2014/main" id="{56E9C2ED-27FD-9051-C47B-88B82CFC9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731E7" w14:textId="77777777" w:rsidR="00447F6C" w:rsidRDefault="00447F6C" w:rsidP="00012FA4">
      <w:pPr>
        <w:pStyle w:val="AsuntoAPV"/>
        <w:ind w:left="0"/>
        <w:rPr>
          <w:b w:val="0"/>
          <w:bCs w:val="0"/>
          <w:sz w:val="20"/>
          <w:szCs w:val="20"/>
        </w:rPr>
      </w:pPr>
    </w:p>
    <w:p w14:paraId="6176CAFA" w14:textId="77777777" w:rsidR="00270519" w:rsidRDefault="00270519" w:rsidP="00012FA4">
      <w:pPr>
        <w:pStyle w:val="AsuntoAPV"/>
        <w:ind w:left="0"/>
        <w:rPr>
          <w:b w:val="0"/>
          <w:bCs w:val="0"/>
          <w:sz w:val="20"/>
          <w:szCs w:val="20"/>
        </w:rPr>
      </w:pPr>
    </w:p>
    <w:p w14:paraId="6B899E26" w14:textId="2C41556C" w:rsidR="00E64839" w:rsidRDefault="00194ED8" w:rsidP="00012FA4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La evolución exponencial del número de expedientes tramitados en los últimos tres años se debe </w:t>
      </w:r>
      <w:r w:rsidR="006A62DA">
        <w:rPr>
          <w:b w:val="0"/>
          <w:bCs w:val="0"/>
          <w:sz w:val="20"/>
          <w:szCs w:val="20"/>
        </w:rPr>
        <w:t xml:space="preserve">a </w:t>
      </w:r>
      <w:r w:rsidR="00E64839">
        <w:rPr>
          <w:b w:val="0"/>
          <w:bCs w:val="0"/>
          <w:sz w:val="20"/>
          <w:szCs w:val="20"/>
        </w:rPr>
        <w:t>la interrupción de los plazos administrativos del ejercicio 2020</w:t>
      </w:r>
      <w:r w:rsidR="00F30C7A">
        <w:rPr>
          <w:b w:val="0"/>
          <w:bCs w:val="0"/>
          <w:sz w:val="20"/>
          <w:szCs w:val="20"/>
        </w:rPr>
        <w:t xml:space="preserve"> </w:t>
      </w:r>
      <w:r w:rsidR="00FB5B64">
        <w:rPr>
          <w:b w:val="0"/>
          <w:bCs w:val="0"/>
          <w:sz w:val="20"/>
          <w:szCs w:val="20"/>
        </w:rPr>
        <w:t xml:space="preserve">acordados </w:t>
      </w:r>
      <w:r w:rsidR="00F30C7A">
        <w:rPr>
          <w:b w:val="0"/>
          <w:bCs w:val="0"/>
          <w:sz w:val="20"/>
          <w:szCs w:val="20"/>
        </w:rPr>
        <w:t>por la</w:t>
      </w:r>
      <w:r w:rsidR="00E64839">
        <w:rPr>
          <w:b w:val="0"/>
          <w:bCs w:val="0"/>
          <w:sz w:val="20"/>
          <w:szCs w:val="20"/>
        </w:rPr>
        <w:t xml:space="preserve"> pandemia COVID-19</w:t>
      </w:r>
      <w:r>
        <w:rPr>
          <w:b w:val="0"/>
          <w:bCs w:val="0"/>
          <w:sz w:val="20"/>
          <w:szCs w:val="20"/>
        </w:rPr>
        <w:t xml:space="preserve"> y en la </w:t>
      </w:r>
      <w:r w:rsidR="00E64839">
        <w:rPr>
          <w:b w:val="0"/>
          <w:bCs w:val="0"/>
          <w:sz w:val="20"/>
          <w:szCs w:val="20"/>
        </w:rPr>
        <w:t>reestructuración realizada en el departamento tramitador</w:t>
      </w:r>
      <w:r>
        <w:rPr>
          <w:b w:val="0"/>
          <w:bCs w:val="0"/>
          <w:sz w:val="20"/>
          <w:szCs w:val="20"/>
        </w:rPr>
        <w:t xml:space="preserve">, lo que </w:t>
      </w:r>
      <w:r w:rsidR="00A3712B">
        <w:rPr>
          <w:b w:val="0"/>
          <w:bCs w:val="0"/>
          <w:sz w:val="20"/>
          <w:szCs w:val="20"/>
        </w:rPr>
        <w:t xml:space="preserve">ha </w:t>
      </w:r>
      <w:r w:rsidR="006A62DA">
        <w:rPr>
          <w:b w:val="0"/>
          <w:bCs w:val="0"/>
          <w:sz w:val="20"/>
          <w:szCs w:val="20"/>
        </w:rPr>
        <w:t>contribuido</w:t>
      </w:r>
      <w:r w:rsidR="0008693F">
        <w:rPr>
          <w:b w:val="0"/>
          <w:bCs w:val="0"/>
          <w:sz w:val="20"/>
          <w:szCs w:val="20"/>
        </w:rPr>
        <w:t xml:space="preserve"> a aumentar el número de expedientes y</w:t>
      </w:r>
      <w:r w:rsidR="006A62DA">
        <w:rPr>
          <w:b w:val="0"/>
          <w:bCs w:val="0"/>
          <w:sz w:val="20"/>
          <w:szCs w:val="20"/>
        </w:rPr>
        <w:t xml:space="preserve"> reducir los tiempos de tramitación</w:t>
      </w:r>
      <w:r w:rsidR="00E64839">
        <w:rPr>
          <w:b w:val="0"/>
          <w:bCs w:val="0"/>
          <w:sz w:val="20"/>
          <w:szCs w:val="20"/>
        </w:rPr>
        <w:t xml:space="preserve">.  </w:t>
      </w:r>
    </w:p>
    <w:p w14:paraId="59FD2AC7" w14:textId="7A7C266B" w:rsidR="006E4E2F" w:rsidRPr="009863FC" w:rsidRDefault="00172EB0" w:rsidP="00012FA4">
      <w:pPr>
        <w:pStyle w:val="AsuntoAPV"/>
        <w:ind w:left="0"/>
        <w:rPr>
          <w:b w:val="0"/>
          <w:bCs w:val="0"/>
          <w:sz w:val="20"/>
          <w:szCs w:val="20"/>
        </w:rPr>
      </w:pPr>
      <w:r w:rsidRPr="009863FC">
        <w:rPr>
          <w:b w:val="0"/>
          <w:bCs w:val="0"/>
          <w:sz w:val="20"/>
          <w:szCs w:val="20"/>
        </w:rPr>
        <w:lastRenderedPageBreak/>
        <w:t>T</w:t>
      </w:r>
      <w:r w:rsidR="006E4E2F" w:rsidRPr="009863FC">
        <w:rPr>
          <w:b w:val="0"/>
          <w:bCs w:val="0"/>
          <w:sz w:val="20"/>
          <w:szCs w:val="20"/>
        </w:rPr>
        <w:t xml:space="preserve">iempo medio de tramitación </w:t>
      </w:r>
      <w:r w:rsidRPr="009863FC">
        <w:rPr>
          <w:b w:val="0"/>
          <w:bCs w:val="0"/>
          <w:sz w:val="20"/>
          <w:szCs w:val="20"/>
        </w:rPr>
        <w:t xml:space="preserve">en días </w:t>
      </w:r>
      <w:r w:rsidR="006E4E2F" w:rsidRPr="009863FC">
        <w:rPr>
          <w:b w:val="0"/>
          <w:bCs w:val="0"/>
          <w:sz w:val="20"/>
          <w:szCs w:val="20"/>
        </w:rPr>
        <w:t xml:space="preserve">de los expedientes </w:t>
      </w:r>
      <w:r w:rsidRPr="009863FC">
        <w:rPr>
          <w:b w:val="0"/>
          <w:bCs w:val="0"/>
          <w:sz w:val="20"/>
          <w:szCs w:val="20"/>
        </w:rPr>
        <w:t xml:space="preserve">sancionadores </w:t>
      </w:r>
      <w:r w:rsidR="006E4E2F" w:rsidRPr="009863FC">
        <w:rPr>
          <w:b w:val="0"/>
          <w:bCs w:val="0"/>
          <w:sz w:val="20"/>
          <w:szCs w:val="20"/>
        </w:rPr>
        <w:t xml:space="preserve">desde la firma del acuerdo de iniciación hasta </w:t>
      </w:r>
      <w:r w:rsidRPr="009863FC">
        <w:rPr>
          <w:b w:val="0"/>
          <w:bCs w:val="0"/>
          <w:sz w:val="20"/>
          <w:szCs w:val="20"/>
        </w:rPr>
        <w:t xml:space="preserve">la </w:t>
      </w:r>
      <w:r w:rsidR="006E4E2F" w:rsidRPr="009863FC">
        <w:rPr>
          <w:b w:val="0"/>
          <w:bCs w:val="0"/>
          <w:sz w:val="20"/>
          <w:szCs w:val="20"/>
        </w:rPr>
        <w:t>resolución</w:t>
      </w:r>
      <w:r w:rsidR="00913ADF" w:rsidRPr="009863FC">
        <w:rPr>
          <w:b w:val="0"/>
          <w:bCs w:val="0"/>
          <w:sz w:val="20"/>
          <w:szCs w:val="20"/>
        </w:rPr>
        <w:t xml:space="preserve"> del procedimiento</w:t>
      </w:r>
      <w:r w:rsidR="00270519" w:rsidRPr="009863FC">
        <w:rPr>
          <w:b w:val="0"/>
          <w:bCs w:val="0"/>
          <w:sz w:val="20"/>
          <w:szCs w:val="20"/>
        </w:rPr>
        <w:t xml:space="preserve"> es</w:t>
      </w:r>
      <w:r w:rsidRPr="009863FC">
        <w:rPr>
          <w:b w:val="0"/>
          <w:bCs w:val="0"/>
          <w:sz w:val="20"/>
          <w:szCs w:val="20"/>
        </w:rPr>
        <w:t>:</w:t>
      </w:r>
    </w:p>
    <w:p w14:paraId="24809501" w14:textId="721493E6" w:rsidR="00270519" w:rsidRDefault="00270519" w:rsidP="00270519">
      <w:pPr>
        <w:pStyle w:val="AsuntoAPV"/>
      </w:pPr>
      <w:r>
        <w:rPr>
          <w:noProof/>
        </w:rPr>
        <w:drawing>
          <wp:inline distT="0" distB="0" distL="0" distR="0" wp14:anchorId="1A7AD29F" wp14:editId="35CCE67B">
            <wp:extent cx="3819525" cy="2238375"/>
            <wp:effectExtent l="0" t="0" r="0" b="0"/>
            <wp:docPr id="22824502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A6E501D-D431-94FE-8FBC-175C1467C6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7359EB" w14:textId="77777777" w:rsidR="00270519" w:rsidRDefault="00270519" w:rsidP="00012FA4">
      <w:pPr>
        <w:pStyle w:val="AsuntoAPV"/>
        <w:ind w:left="0"/>
        <w:rPr>
          <w:b w:val="0"/>
          <w:bCs w:val="0"/>
          <w:sz w:val="20"/>
          <w:szCs w:val="20"/>
        </w:rPr>
      </w:pPr>
    </w:p>
    <w:p w14:paraId="51491A30" w14:textId="314AE657" w:rsidR="00286724" w:rsidRDefault="00286724" w:rsidP="00012FA4">
      <w:pPr>
        <w:pStyle w:val="AsuntoAPV"/>
        <w:ind w:left="0"/>
        <w:rPr>
          <w:b w:val="0"/>
          <w:bCs w:val="0"/>
          <w:sz w:val="20"/>
          <w:szCs w:val="20"/>
        </w:rPr>
      </w:pPr>
      <w:r w:rsidRPr="00286724">
        <w:rPr>
          <w:b w:val="0"/>
          <w:bCs w:val="0"/>
          <w:sz w:val="20"/>
          <w:szCs w:val="20"/>
        </w:rPr>
        <w:t>L</w:t>
      </w:r>
      <w:r>
        <w:rPr>
          <w:b w:val="0"/>
          <w:bCs w:val="0"/>
          <w:sz w:val="20"/>
          <w:szCs w:val="20"/>
        </w:rPr>
        <w:t>as resoluciones de los expedientes sancionadores pueden ser de distinta naturaleza</w:t>
      </w:r>
      <w:r w:rsidR="00172EB0">
        <w:rPr>
          <w:b w:val="0"/>
          <w:bCs w:val="0"/>
          <w:sz w:val="20"/>
          <w:szCs w:val="20"/>
        </w:rPr>
        <w:t>. A saber</w:t>
      </w:r>
      <w:r w:rsidR="005F402E">
        <w:rPr>
          <w:b w:val="0"/>
          <w:bCs w:val="0"/>
          <w:sz w:val="20"/>
          <w:szCs w:val="20"/>
        </w:rPr>
        <w:t>:</w:t>
      </w:r>
    </w:p>
    <w:p w14:paraId="74DD9FE1" w14:textId="77777777" w:rsidR="006E4E2F" w:rsidRDefault="006E4E2F" w:rsidP="00012FA4">
      <w:pPr>
        <w:pStyle w:val="AsuntoAPV"/>
        <w:ind w:left="0"/>
        <w:rPr>
          <w:b w:val="0"/>
          <w:bCs w:val="0"/>
          <w:sz w:val="20"/>
          <w:szCs w:val="20"/>
        </w:rPr>
      </w:pPr>
    </w:p>
    <w:p w14:paraId="43B51385" w14:textId="4D828560" w:rsidR="006A62DA" w:rsidRDefault="006A62DA" w:rsidP="00A3712B">
      <w:pPr>
        <w:pStyle w:val="AsuntoAPV"/>
        <w:numPr>
          <w:ilvl w:val="0"/>
          <w:numId w:val="1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u w:val="single"/>
        </w:rPr>
        <w:t>Archivo</w:t>
      </w:r>
      <w:r>
        <w:rPr>
          <w:b w:val="0"/>
          <w:bCs w:val="0"/>
          <w:sz w:val="20"/>
          <w:szCs w:val="20"/>
        </w:rPr>
        <w:t>: por inexistencia de infracción</w:t>
      </w:r>
      <w:r w:rsidR="00054269">
        <w:rPr>
          <w:b w:val="0"/>
          <w:bCs w:val="0"/>
          <w:sz w:val="20"/>
          <w:szCs w:val="20"/>
        </w:rPr>
        <w:t xml:space="preserve">. En </w:t>
      </w:r>
      <w:r w:rsidR="00A3712B">
        <w:rPr>
          <w:b w:val="0"/>
          <w:bCs w:val="0"/>
          <w:sz w:val="20"/>
          <w:szCs w:val="20"/>
        </w:rPr>
        <w:t xml:space="preserve">el caso de los estacionamientos indebidos </w:t>
      </w:r>
      <w:r w:rsidR="00913ADF">
        <w:rPr>
          <w:b w:val="0"/>
          <w:bCs w:val="0"/>
          <w:sz w:val="20"/>
          <w:szCs w:val="20"/>
        </w:rPr>
        <w:t>es frecuente que e</w:t>
      </w:r>
      <w:r w:rsidR="00A3712B">
        <w:rPr>
          <w:b w:val="0"/>
          <w:bCs w:val="0"/>
          <w:sz w:val="20"/>
          <w:szCs w:val="20"/>
        </w:rPr>
        <w:t>l tit</w:t>
      </w:r>
      <w:r w:rsidR="00A3712B" w:rsidRPr="00A3712B">
        <w:rPr>
          <w:b w:val="0"/>
          <w:bCs w:val="0"/>
          <w:sz w:val="20"/>
          <w:szCs w:val="20"/>
        </w:rPr>
        <w:t>ular</w:t>
      </w:r>
      <w:r w:rsidRPr="00A3712B">
        <w:rPr>
          <w:b w:val="0"/>
          <w:bCs w:val="0"/>
          <w:sz w:val="20"/>
          <w:szCs w:val="20"/>
        </w:rPr>
        <w:t xml:space="preserve"> </w:t>
      </w:r>
      <w:r w:rsidR="00A3712B">
        <w:rPr>
          <w:b w:val="0"/>
          <w:bCs w:val="0"/>
          <w:sz w:val="20"/>
          <w:szCs w:val="20"/>
        </w:rPr>
        <w:t xml:space="preserve">del vehículo </w:t>
      </w:r>
      <w:r w:rsidRPr="00A3712B">
        <w:rPr>
          <w:b w:val="0"/>
          <w:bCs w:val="0"/>
          <w:sz w:val="20"/>
          <w:szCs w:val="20"/>
        </w:rPr>
        <w:t>identifi</w:t>
      </w:r>
      <w:r w:rsidR="00913ADF">
        <w:rPr>
          <w:b w:val="0"/>
          <w:bCs w:val="0"/>
          <w:sz w:val="20"/>
          <w:szCs w:val="20"/>
        </w:rPr>
        <w:t>que</w:t>
      </w:r>
      <w:r w:rsidR="00A3712B">
        <w:rPr>
          <w:b w:val="0"/>
          <w:bCs w:val="0"/>
          <w:sz w:val="20"/>
          <w:szCs w:val="20"/>
        </w:rPr>
        <w:t xml:space="preserve"> al supuesto</w:t>
      </w:r>
      <w:r w:rsidRPr="00A3712B">
        <w:rPr>
          <w:b w:val="0"/>
          <w:bCs w:val="0"/>
          <w:sz w:val="20"/>
          <w:szCs w:val="20"/>
        </w:rPr>
        <w:t xml:space="preserve"> infractor</w:t>
      </w:r>
      <w:r w:rsidR="00054269">
        <w:rPr>
          <w:b w:val="0"/>
          <w:bCs w:val="0"/>
          <w:sz w:val="20"/>
          <w:szCs w:val="20"/>
        </w:rPr>
        <w:t xml:space="preserve"> </w:t>
      </w:r>
      <w:r w:rsidR="00913ADF">
        <w:rPr>
          <w:b w:val="0"/>
          <w:bCs w:val="0"/>
          <w:sz w:val="20"/>
          <w:szCs w:val="20"/>
        </w:rPr>
        <w:t xml:space="preserve">cuando éste se encuentra arrendado o cedido a un tercero. Es estos casos </w:t>
      </w:r>
      <w:r w:rsidR="00054269">
        <w:rPr>
          <w:b w:val="0"/>
          <w:bCs w:val="0"/>
          <w:sz w:val="20"/>
          <w:szCs w:val="20"/>
        </w:rPr>
        <w:t xml:space="preserve">se acuerda el archivo del procedimiento y si </w:t>
      </w:r>
      <w:r w:rsidR="00A3712B">
        <w:rPr>
          <w:b w:val="0"/>
          <w:bCs w:val="0"/>
          <w:sz w:val="20"/>
          <w:szCs w:val="20"/>
        </w:rPr>
        <w:t xml:space="preserve">la infracción no ha prescrito </w:t>
      </w:r>
      <w:r w:rsidR="00913ADF">
        <w:rPr>
          <w:b w:val="0"/>
          <w:bCs w:val="0"/>
          <w:sz w:val="20"/>
          <w:szCs w:val="20"/>
        </w:rPr>
        <w:t>-</w:t>
      </w:r>
      <w:r w:rsidR="00A3712B">
        <w:rPr>
          <w:b w:val="0"/>
          <w:bCs w:val="0"/>
          <w:sz w:val="20"/>
          <w:szCs w:val="20"/>
        </w:rPr>
        <w:t>plazo de 1 año</w:t>
      </w:r>
      <w:r w:rsidR="00913ADF">
        <w:rPr>
          <w:b w:val="0"/>
          <w:bCs w:val="0"/>
          <w:sz w:val="20"/>
          <w:szCs w:val="20"/>
        </w:rPr>
        <w:t>-</w:t>
      </w:r>
      <w:r w:rsidR="00A3712B">
        <w:rPr>
          <w:b w:val="0"/>
          <w:bCs w:val="0"/>
          <w:sz w:val="20"/>
          <w:szCs w:val="20"/>
        </w:rPr>
        <w:t xml:space="preserve"> se reinicia un nuevo expediente sancionador</w:t>
      </w:r>
      <w:r w:rsidR="00913ADF">
        <w:rPr>
          <w:b w:val="0"/>
          <w:bCs w:val="0"/>
          <w:sz w:val="20"/>
          <w:szCs w:val="20"/>
        </w:rPr>
        <w:t xml:space="preserve"> contra el infractor material</w:t>
      </w:r>
      <w:r w:rsidR="00A3712B">
        <w:rPr>
          <w:b w:val="0"/>
          <w:bCs w:val="0"/>
          <w:sz w:val="20"/>
          <w:szCs w:val="20"/>
        </w:rPr>
        <w:t>.</w:t>
      </w:r>
      <w:r w:rsidRPr="00A3712B">
        <w:rPr>
          <w:b w:val="0"/>
          <w:bCs w:val="0"/>
          <w:sz w:val="20"/>
          <w:szCs w:val="20"/>
        </w:rPr>
        <w:t xml:space="preserve"> </w:t>
      </w:r>
    </w:p>
    <w:p w14:paraId="6F2A381C" w14:textId="77777777" w:rsidR="00172EB0" w:rsidRPr="00A3712B" w:rsidRDefault="00172EB0" w:rsidP="00172EB0">
      <w:pPr>
        <w:pStyle w:val="AsuntoAPV"/>
        <w:ind w:left="720"/>
        <w:rPr>
          <w:b w:val="0"/>
          <w:bCs w:val="0"/>
          <w:sz w:val="20"/>
          <w:szCs w:val="20"/>
        </w:rPr>
      </w:pPr>
    </w:p>
    <w:p w14:paraId="4B4742B0" w14:textId="2B76A44D" w:rsidR="00A3712B" w:rsidRDefault="00A3712B" w:rsidP="00286724">
      <w:pPr>
        <w:pStyle w:val="AsuntoAPV"/>
        <w:numPr>
          <w:ilvl w:val="0"/>
          <w:numId w:val="1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u w:val="single"/>
        </w:rPr>
        <w:t>Caducidad</w:t>
      </w:r>
      <w:r w:rsidRPr="00A3712B"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</w:rPr>
        <w:t xml:space="preserve"> </w:t>
      </w:r>
      <w:r w:rsidR="00172EB0">
        <w:rPr>
          <w:b w:val="0"/>
          <w:bCs w:val="0"/>
          <w:sz w:val="20"/>
          <w:szCs w:val="20"/>
        </w:rPr>
        <w:t xml:space="preserve">cuando se </w:t>
      </w:r>
      <w:r>
        <w:rPr>
          <w:b w:val="0"/>
          <w:bCs w:val="0"/>
          <w:sz w:val="20"/>
          <w:szCs w:val="20"/>
        </w:rPr>
        <w:t xml:space="preserve">excede el plazo máximo legal de 3 meses para </w:t>
      </w:r>
      <w:r w:rsidR="00172EB0">
        <w:rPr>
          <w:b w:val="0"/>
          <w:bCs w:val="0"/>
          <w:sz w:val="20"/>
          <w:szCs w:val="20"/>
        </w:rPr>
        <w:t>resolver el expediente</w:t>
      </w:r>
      <w:r w:rsidR="00BD7D58">
        <w:rPr>
          <w:b w:val="0"/>
          <w:bCs w:val="0"/>
          <w:sz w:val="20"/>
          <w:szCs w:val="20"/>
        </w:rPr>
        <w:t>.</w:t>
      </w:r>
      <w:r>
        <w:rPr>
          <w:b w:val="0"/>
          <w:bCs w:val="0"/>
          <w:sz w:val="20"/>
          <w:szCs w:val="20"/>
        </w:rPr>
        <w:t xml:space="preserve"> </w:t>
      </w:r>
      <w:r w:rsidR="00BD7D58">
        <w:rPr>
          <w:b w:val="0"/>
          <w:bCs w:val="0"/>
          <w:sz w:val="20"/>
          <w:szCs w:val="20"/>
        </w:rPr>
        <w:t>E</w:t>
      </w:r>
      <w:r>
        <w:rPr>
          <w:b w:val="0"/>
          <w:bCs w:val="0"/>
          <w:sz w:val="20"/>
          <w:szCs w:val="20"/>
        </w:rPr>
        <w:t xml:space="preserve">n el caso que la infracción no haya prescrito </w:t>
      </w:r>
      <w:r w:rsidR="00BD7D58">
        <w:rPr>
          <w:b w:val="0"/>
          <w:bCs w:val="0"/>
          <w:sz w:val="20"/>
          <w:szCs w:val="20"/>
        </w:rPr>
        <w:t xml:space="preserve">cabe </w:t>
      </w:r>
      <w:r>
        <w:rPr>
          <w:b w:val="0"/>
          <w:bCs w:val="0"/>
          <w:sz w:val="20"/>
          <w:szCs w:val="20"/>
        </w:rPr>
        <w:t>reinicia</w:t>
      </w:r>
      <w:r w:rsidR="00BD7D58">
        <w:rPr>
          <w:b w:val="0"/>
          <w:bCs w:val="0"/>
          <w:sz w:val="20"/>
          <w:szCs w:val="20"/>
        </w:rPr>
        <w:t>r</w:t>
      </w:r>
      <w:r>
        <w:rPr>
          <w:b w:val="0"/>
          <w:bCs w:val="0"/>
          <w:sz w:val="20"/>
          <w:szCs w:val="20"/>
        </w:rPr>
        <w:t xml:space="preserve"> </w:t>
      </w:r>
      <w:r w:rsidR="005F402E">
        <w:rPr>
          <w:b w:val="0"/>
          <w:bCs w:val="0"/>
          <w:sz w:val="20"/>
          <w:szCs w:val="20"/>
        </w:rPr>
        <w:t xml:space="preserve">un </w:t>
      </w:r>
      <w:r>
        <w:rPr>
          <w:b w:val="0"/>
          <w:bCs w:val="0"/>
          <w:sz w:val="20"/>
          <w:szCs w:val="20"/>
        </w:rPr>
        <w:t>nuevo expediente</w:t>
      </w:r>
      <w:r w:rsidR="00BD7D58">
        <w:rPr>
          <w:b w:val="0"/>
          <w:bCs w:val="0"/>
          <w:sz w:val="20"/>
          <w:szCs w:val="20"/>
        </w:rPr>
        <w:t xml:space="preserve"> sancionador</w:t>
      </w:r>
      <w:r>
        <w:rPr>
          <w:b w:val="0"/>
          <w:bCs w:val="0"/>
          <w:sz w:val="20"/>
          <w:szCs w:val="20"/>
        </w:rPr>
        <w:t xml:space="preserve">. </w:t>
      </w:r>
    </w:p>
    <w:p w14:paraId="38C2FC84" w14:textId="77777777" w:rsidR="00172EB0" w:rsidRPr="00172EB0" w:rsidRDefault="00172EB0" w:rsidP="00172EB0">
      <w:pPr>
        <w:pStyle w:val="AsuntoAPV"/>
        <w:ind w:left="720"/>
        <w:rPr>
          <w:b w:val="0"/>
          <w:bCs w:val="0"/>
          <w:sz w:val="20"/>
          <w:szCs w:val="20"/>
        </w:rPr>
      </w:pPr>
    </w:p>
    <w:p w14:paraId="069C1903" w14:textId="13299700" w:rsidR="00286724" w:rsidRDefault="00A3712B" w:rsidP="00286724">
      <w:pPr>
        <w:pStyle w:val="AsuntoAPV"/>
        <w:numPr>
          <w:ilvl w:val="0"/>
          <w:numId w:val="1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u w:val="single"/>
        </w:rPr>
        <w:t>Sanción</w:t>
      </w:r>
      <w:r>
        <w:rPr>
          <w:b w:val="0"/>
          <w:bCs w:val="0"/>
          <w:sz w:val="20"/>
          <w:szCs w:val="20"/>
        </w:rPr>
        <w:t>:</w:t>
      </w:r>
      <w:r w:rsidR="00286724">
        <w:rPr>
          <w:b w:val="0"/>
          <w:bCs w:val="0"/>
          <w:sz w:val="20"/>
          <w:szCs w:val="20"/>
        </w:rPr>
        <w:t xml:space="preserve"> </w:t>
      </w:r>
      <w:r w:rsidR="005F402E">
        <w:rPr>
          <w:b w:val="0"/>
          <w:bCs w:val="0"/>
          <w:sz w:val="20"/>
          <w:szCs w:val="20"/>
        </w:rPr>
        <w:t>este tipo de resoluci</w:t>
      </w:r>
      <w:r w:rsidR="00BD7D58">
        <w:rPr>
          <w:b w:val="0"/>
          <w:bCs w:val="0"/>
          <w:sz w:val="20"/>
          <w:szCs w:val="20"/>
        </w:rPr>
        <w:t>ones</w:t>
      </w:r>
      <w:r w:rsidR="005F402E">
        <w:rPr>
          <w:b w:val="0"/>
          <w:bCs w:val="0"/>
          <w:sz w:val="20"/>
          <w:szCs w:val="20"/>
        </w:rPr>
        <w:t xml:space="preserve"> </w:t>
      </w:r>
      <w:r w:rsidR="00E82031">
        <w:rPr>
          <w:b w:val="0"/>
          <w:bCs w:val="0"/>
          <w:sz w:val="20"/>
          <w:szCs w:val="20"/>
        </w:rPr>
        <w:t>impone el pago de una multa</w:t>
      </w:r>
      <w:r w:rsidR="00BD7D58">
        <w:rPr>
          <w:b w:val="0"/>
          <w:bCs w:val="0"/>
          <w:sz w:val="20"/>
          <w:szCs w:val="20"/>
        </w:rPr>
        <w:t>,</w:t>
      </w:r>
      <w:r w:rsidR="005F402E">
        <w:rPr>
          <w:b w:val="0"/>
          <w:bCs w:val="0"/>
          <w:sz w:val="20"/>
          <w:szCs w:val="20"/>
        </w:rPr>
        <w:t xml:space="preserve"> viniendo a significar </w:t>
      </w:r>
      <w:r w:rsidR="00913ADF">
        <w:rPr>
          <w:b w:val="0"/>
          <w:bCs w:val="0"/>
          <w:sz w:val="20"/>
          <w:szCs w:val="20"/>
        </w:rPr>
        <w:t xml:space="preserve">una media del </w:t>
      </w:r>
      <w:r w:rsidR="005F402E">
        <w:rPr>
          <w:b w:val="0"/>
          <w:bCs w:val="0"/>
          <w:sz w:val="20"/>
          <w:szCs w:val="20"/>
        </w:rPr>
        <w:t>90% de los expedientes tramitados. Forma parte de este tipo de resolución el pago voluntario de la sanción por el interesado, lo que pone fin al procedimiento s</w:t>
      </w:r>
      <w:r w:rsidR="00AB04E6">
        <w:rPr>
          <w:b w:val="0"/>
          <w:bCs w:val="0"/>
          <w:sz w:val="20"/>
          <w:szCs w:val="20"/>
        </w:rPr>
        <w:t>ancionador sin necesidad de realizar más actuaciones</w:t>
      </w:r>
      <w:r w:rsidR="005F402E">
        <w:rPr>
          <w:b w:val="0"/>
          <w:bCs w:val="0"/>
          <w:sz w:val="20"/>
          <w:szCs w:val="20"/>
        </w:rPr>
        <w:t xml:space="preserve">, y la resolución dictada </w:t>
      </w:r>
      <w:r>
        <w:rPr>
          <w:b w:val="0"/>
          <w:bCs w:val="0"/>
          <w:sz w:val="20"/>
          <w:szCs w:val="20"/>
        </w:rPr>
        <w:t>tras la tramitación del expediente</w:t>
      </w:r>
      <w:r w:rsidR="005F402E">
        <w:rPr>
          <w:b w:val="0"/>
          <w:bCs w:val="0"/>
          <w:sz w:val="20"/>
          <w:szCs w:val="20"/>
        </w:rPr>
        <w:t xml:space="preserve"> en la que se impone </w:t>
      </w:r>
      <w:r w:rsidR="00BD7D58">
        <w:rPr>
          <w:b w:val="0"/>
          <w:bCs w:val="0"/>
          <w:sz w:val="20"/>
          <w:szCs w:val="20"/>
        </w:rPr>
        <w:t xml:space="preserve">la </w:t>
      </w:r>
      <w:r w:rsidR="005F402E">
        <w:rPr>
          <w:b w:val="0"/>
          <w:bCs w:val="0"/>
          <w:sz w:val="20"/>
          <w:szCs w:val="20"/>
        </w:rPr>
        <w:t>sanción</w:t>
      </w:r>
      <w:r w:rsidR="00BD7D58">
        <w:rPr>
          <w:b w:val="0"/>
          <w:bCs w:val="0"/>
          <w:sz w:val="20"/>
          <w:szCs w:val="20"/>
        </w:rPr>
        <w:t xml:space="preserve"> propuesta</w:t>
      </w:r>
      <w:r>
        <w:rPr>
          <w:b w:val="0"/>
          <w:bCs w:val="0"/>
          <w:sz w:val="20"/>
          <w:szCs w:val="20"/>
        </w:rPr>
        <w:t>.</w:t>
      </w:r>
    </w:p>
    <w:p w14:paraId="2355BF0A" w14:textId="77777777" w:rsidR="00270519" w:rsidRDefault="00270519" w:rsidP="00012FA4">
      <w:pPr>
        <w:pStyle w:val="AsuntoAPV"/>
        <w:ind w:left="0"/>
        <w:rPr>
          <w:b w:val="0"/>
          <w:bCs w:val="0"/>
          <w:sz w:val="20"/>
          <w:szCs w:val="20"/>
        </w:rPr>
      </w:pPr>
    </w:p>
    <w:p w14:paraId="3230CBA1" w14:textId="26B90732" w:rsidR="00A3712B" w:rsidRDefault="00A3712B" w:rsidP="00012FA4">
      <w:pPr>
        <w:pStyle w:val="AsuntoAPV"/>
        <w:ind w:left="0"/>
        <w:rPr>
          <w:b w:val="0"/>
          <w:bCs w:val="0"/>
          <w:sz w:val="20"/>
          <w:szCs w:val="20"/>
        </w:rPr>
      </w:pPr>
      <w:r w:rsidRPr="00A3712B">
        <w:rPr>
          <w:b w:val="0"/>
          <w:bCs w:val="0"/>
          <w:sz w:val="20"/>
          <w:szCs w:val="20"/>
        </w:rPr>
        <w:t xml:space="preserve">A efectos </w:t>
      </w:r>
      <w:r>
        <w:rPr>
          <w:b w:val="0"/>
          <w:bCs w:val="0"/>
          <w:sz w:val="20"/>
          <w:szCs w:val="20"/>
        </w:rPr>
        <w:t>informativos se reproducen los distintos tipos de resoluciones dictadas en los ejercicio</w:t>
      </w:r>
      <w:r w:rsidR="00054269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 xml:space="preserve"> 201</w:t>
      </w:r>
      <w:r w:rsidR="005C3D58">
        <w:rPr>
          <w:b w:val="0"/>
          <w:bCs w:val="0"/>
          <w:sz w:val="20"/>
          <w:szCs w:val="20"/>
        </w:rPr>
        <w:t>9</w:t>
      </w:r>
      <w:r>
        <w:rPr>
          <w:b w:val="0"/>
          <w:bCs w:val="0"/>
          <w:sz w:val="20"/>
          <w:szCs w:val="20"/>
        </w:rPr>
        <w:t xml:space="preserve"> a 202</w:t>
      </w:r>
      <w:r w:rsidR="005C3D58">
        <w:rPr>
          <w:b w:val="0"/>
          <w:bCs w:val="0"/>
          <w:sz w:val="20"/>
          <w:szCs w:val="20"/>
        </w:rPr>
        <w:t>3</w:t>
      </w:r>
      <w:r w:rsidR="005F402E" w:rsidRPr="00611B95">
        <w:rPr>
          <w:b w:val="0"/>
          <w:bCs w:val="0"/>
          <w:sz w:val="20"/>
          <w:szCs w:val="20"/>
        </w:rPr>
        <w:t>,</w:t>
      </w:r>
      <w:r w:rsidR="00054269">
        <w:rPr>
          <w:b w:val="0"/>
          <w:bCs w:val="0"/>
          <w:sz w:val="20"/>
          <w:szCs w:val="20"/>
        </w:rPr>
        <w:t xml:space="preserve"> así como los porcenta</w:t>
      </w:r>
      <w:r w:rsidR="00690BEC">
        <w:rPr>
          <w:b w:val="0"/>
          <w:bCs w:val="0"/>
          <w:sz w:val="20"/>
          <w:szCs w:val="20"/>
        </w:rPr>
        <w:t>jes que suponen respecto de los expedientes tramitados</w:t>
      </w:r>
      <w:r w:rsidR="005F402E">
        <w:rPr>
          <w:b w:val="0"/>
          <w:bCs w:val="0"/>
          <w:sz w:val="20"/>
          <w:szCs w:val="20"/>
        </w:rPr>
        <w:t xml:space="preserve"> </w:t>
      </w:r>
      <w:r w:rsidR="00BD7D58">
        <w:rPr>
          <w:b w:val="0"/>
          <w:bCs w:val="0"/>
          <w:sz w:val="20"/>
          <w:szCs w:val="20"/>
        </w:rPr>
        <w:t xml:space="preserve">en cada </w:t>
      </w:r>
      <w:r w:rsidR="005F402E">
        <w:rPr>
          <w:b w:val="0"/>
          <w:bCs w:val="0"/>
          <w:sz w:val="20"/>
          <w:szCs w:val="20"/>
        </w:rPr>
        <w:t>año</w:t>
      </w:r>
      <w:r w:rsidR="00BD7D58"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</w:rPr>
        <w:t xml:space="preserve"> </w:t>
      </w:r>
    </w:p>
    <w:p w14:paraId="3721CCC2" w14:textId="77777777" w:rsidR="00270519" w:rsidRDefault="00270519" w:rsidP="00012FA4">
      <w:pPr>
        <w:pStyle w:val="AsuntoAPV"/>
        <w:ind w:left="0"/>
        <w:rPr>
          <w:b w:val="0"/>
          <w:bCs w:val="0"/>
          <w:sz w:val="20"/>
          <w:szCs w:val="20"/>
        </w:rPr>
      </w:pPr>
    </w:p>
    <w:tbl>
      <w:tblPr>
        <w:tblW w:w="7239" w:type="dxa"/>
        <w:tblInd w:w="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567"/>
        <w:gridCol w:w="521"/>
        <w:gridCol w:w="475"/>
        <w:gridCol w:w="564"/>
        <w:gridCol w:w="567"/>
        <w:gridCol w:w="521"/>
        <w:gridCol w:w="544"/>
        <w:gridCol w:w="544"/>
        <w:gridCol w:w="544"/>
        <w:gridCol w:w="544"/>
      </w:tblGrid>
      <w:tr w:rsidR="005C3D58" w:rsidRPr="00673901" w14:paraId="3EBE8CAF" w14:textId="36F65A80" w:rsidTr="00EC130E">
        <w:trPr>
          <w:trHeight w:val="290"/>
        </w:trPr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9916" w14:textId="77777777" w:rsidR="005C3D58" w:rsidRPr="00673901" w:rsidRDefault="005C3D58" w:rsidP="0067390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D866F6" w14:textId="77777777" w:rsidR="005C3D58" w:rsidRPr="00673901" w:rsidRDefault="005C3D58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2019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F2B600" w14:textId="77777777" w:rsidR="005C3D58" w:rsidRPr="00673901" w:rsidRDefault="005C3D58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2020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3CCE2E" w14:textId="77777777" w:rsidR="005C3D58" w:rsidRPr="00673901" w:rsidRDefault="005C3D58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2021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FF5B029" w14:textId="03B19AED" w:rsidR="005C3D58" w:rsidRPr="00673901" w:rsidRDefault="005C3D58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3FAC0EF" w14:textId="3F3460A7" w:rsidR="005C3D58" w:rsidRPr="00673901" w:rsidRDefault="005C3D58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</w:tr>
      <w:tr w:rsidR="00EC130E" w:rsidRPr="00673901" w14:paraId="3C99FFD5" w14:textId="65C861E5" w:rsidTr="000D29A7">
        <w:trPr>
          <w:trHeight w:val="29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27E47A" w14:textId="77777777" w:rsidR="00EC130E" w:rsidRPr="00673901" w:rsidRDefault="00EC130E" w:rsidP="0067390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ARCHIVO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853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B79A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4%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E19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85D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51C" w14:textId="4743395C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66" w14:textId="7F605543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6%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B3437" w14:textId="0366F304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E2BA" w14:textId="1945A878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7%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DB0C0" w14:textId="106AFFC8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31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7C8F" w14:textId="4AE9020A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6%</w:t>
            </w:r>
          </w:p>
        </w:tc>
      </w:tr>
      <w:tr w:rsidR="00EC130E" w:rsidRPr="00673901" w14:paraId="0D3E0C72" w14:textId="37976925" w:rsidTr="00DF23DD">
        <w:trPr>
          <w:trHeight w:val="29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F871BB" w14:textId="77777777" w:rsidR="00EC130E" w:rsidRPr="00673901" w:rsidRDefault="00EC130E" w:rsidP="0067390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CADUCIDAD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808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A052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CB0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825D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F51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EA0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1%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030B8" w14:textId="1F85943B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CF9CB" w14:textId="453A0395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D06C1" w14:textId="338E4B1C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97932" w14:textId="6653D67D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1%</w:t>
            </w:r>
          </w:p>
        </w:tc>
      </w:tr>
      <w:tr w:rsidR="00EC130E" w:rsidRPr="00673901" w14:paraId="34CD4E20" w14:textId="6E9B5B50" w:rsidTr="000F1B01">
        <w:trPr>
          <w:trHeight w:val="29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702D5C" w14:textId="77777777" w:rsidR="00EC130E" w:rsidRPr="00673901" w:rsidRDefault="00EC130E" w:rsidP="0067390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SANCIÓN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46C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C6F9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94%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F9B9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235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220C" w14:textId="77777777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92%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F94D" w14:textId="051D60EE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494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021A" w14:textId="4E2E9E78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93</w:t>
            </w: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E6C3" w14:textId="71B6500F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DF09" w14:textId="03C612ED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92%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04D5" w14:textId="1D27C291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F855" w14:textId="501C4401" w:rsidR="00EC130E" w:rsidRPr="00673901" w:rsidRDefault="00EC130E" w:rsidP="00673901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93%</w:t>
            </w:r>
          </w:p>
        </w:tc>
      </w:tr>
      <w:tr w:rsidR="005C3D58" w:rsidRPr="00673901" w14:paraId="71E51071" w14:textId="0200ACE3" w:rsidTr="00EC130E">
        <w:trPr>
          <w:trHeight w:val="290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3041" w14:textId="77777777" w:rsidR="005C3D58" w:rsidRPr="00673901" w:rsidRDefault="005C3D58" w:rsidP="0067390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018350" w14:textId="77777777" w:rsidR="005C3D58" w:rsidRPr="00673901" w:rsidRDefault="005C3D58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251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179EFA" w14:textId="77777777" w:rsidR="005C3D58" w:rsidRPr="00673901" w:rsidRDefault="005C3D58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256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3E3AD408" w14:textId="77777777" w:rsidR="005C3D58" w:rsidRPr="00673901" w:rsidRDefault="005C3D58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73901">
              <w:rPr>
                <w:rFonts w:ascii="Calibri" w:eastAsia="Times New Roman" w:hAnsi="Calibri" w:cs="Calibri"/>
                <w:color w:val="000000"/>
                <w:lang w:val="es-ES" w:eastAsia="es-ES"/>
              </w:rPr>
              <w:t>536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71304732" w14:textId="26ECF052" w:rsidR="005C3D58" w:rsidRPr="00673901" w:rsidRDefault="00EC130E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447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6EF53643" w14:textId="299F4E5C" w:rsidR="005C3D58" w:rsidRPr="00673901" w:rsidRDefault="00EC130E" w:rsidP="0067390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547</w:t>
            </w:r>
          </w:p>
        </w:tc>
      </w:tr>
    </w:tbl>
    <w:p w14:paraId="5E72FF73" w14:textId="0903BB49" w:rsidR="000E0130" w:rsidRDefault="000E0130" w:rsidP="00375A8A">
      <w:pPr>
        <w:pStyle w:val="AsuntoAPV"/>
        <w:spacing w:line="240" w:lineRule="auto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En relación con la finalización de la vía administrativa, c</w:t>
      </w:r>
      <w:r w:rsidR="00CB5416">
        <w:rPr>
          <w:b w:val="0"/>
          <w:bCs w:val="0"/>
          <w:sz w:val="20"/>
          <w:szCs w:val="20"/>
        </w:rPr>
        <w:t>omo consecuencia de la labor desempeñada en la motivación de las resoluciones sancionadoras</w:t>
      </w:r>
      <w:r w:rsidR="00182DB8">
        <w:rPr>
          <w:b w:val="0"/>
          <w:bCs w:val="0"/>
          <w:sz w:val="20"/>
          <w:szCs w:val="20"/>
        </w:rPr>
        <w:t xml:space="preserve"> a lo largo de los años</w:t>
      </w:r>
      <w:r>
        <w:rPr>
          <w:b w:val="0"/>
          <w:bCs w:val="0"/>
          <w:sz w:val="20"/>
          <w:szCs w:val="20"/>
        </w:rPr>
        <w:t>,</w:t>
      </w:r>
      <w:r w:rsidR="00182DB8">
        <w:rPr>
          <w:b w:val="0"/>
          <w:bCs w:val="0"/>
          <w:sz w:val="20"/>
          <w:szCs w:val="20"/>
        </w:rPr>
        <w:t xml:space="preserve"> se ha conseguido reducir considerablemente la conflictividad, </w:t>
      </w:r>
      <w:r>
        <w:rPr>
          <w:b w:val="0"/>
          <w:bCs w:val="0"/>
          <w:sz w:val="20"/>
          <w:szCs w:val="20"/>
        </w:rPr>
        <w:t xml:space="preserve">siendo la </w:t>
      </w:r>
      <w:r w:rsidR="00182DB8">
        <w:rPr>
          <w:b w:val="0"/>
          <w:bCs w:val="0"/>
          <w:sz w:val="20"/>
          <w:szCs w:val="20"/>
        </w:rPr>
        <w:t>interpo</w:t>
      </w:r>
      <w:r>
        <w:rPr>
          <w:b w:val="0"/>
          <w:bCs w:val="0"/>
          <w:sz w:val="20"/>
          <w:szCs w:val="20"/>
        </w:rPr>
        <w:t xml:space="preserve">sición de </w:t>
      </w:r>
      <w:r w:rsidR="00182DB8">
        <w:rPr>
          <w:b w:val="0"/>
          <w:bCs w:val="0"/>
          <w:sz w:val="20"/>
          <w:szCs w:val="20"/>
        </w:rPr>
        <w:t>recursos de reposición</w:t>
      </w:r>
      <w:r>
        <w:rPr>
          <w:b w:val="0"/>
          <w:bCs w:val="0"/>
          <w:sz w:val="20"/>
          <w:szCs w:val="20"/>
        </w:rPr>
        <w:t xml:space="preserve"> algo extraordinario en comparación con la cuantía de expedientes que se tramitan</w:t>
      </w:r>
      <w:r w:rsidR="00182DB8">
        <w:rPr>
          <w:b w:val="0"/>
          <w:bCs w:val="0"/>
          <w:sz w:val="20"/>
          <w:szCs w:val="20"/>
        </w:rPr>
        <w:t>.</w:t>
      </w:r>
      <w:r>
        <w:rPr>
          <w:b w:val="0"/>
          <w:bCs w:val="0"/>
          <w:sz w:val="20"/>
          <w:szCs w:val="20"/>
        </w:rPr>
        <w:t xml:space="preserve"> </w:t>
      </w:r>
    </w:p>
    <w:p w14:paraId="3F244FE3" w14:textId="77777777" w:rsidR="000E0130" w:rsidRDefault="000E0130" w:rsidP="00012FA4">
      <w:pPr>
        <w:pStyle w:val="AsuntoAPV"/>
        <w:ind w:left="0"/>
        <w:rPr>
          <w:b w:val="0"/>
          <w:bCs w:val="0"/>
          <w:sz w:val="20"/>
          <w:szCs w:val="20"/>
        </w:rPr>
      </w:pPr>
    </w:p>
    <w:p w14:paraId="5C319DC5" w14:textId="22DD9A1D" w:rsidR="00673901" w:rsidRDefault="00E82031" w:rsidP="00012FA4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En este sentido</w:t>
      </w:r>
      <w:r w:rsidR="000E0130">
        <w:rPr>
          <w:b w:val="0"/>
          <w:bCs w:val="0"/>
          <w:sz w:val="20"/>
          <w:szCs w:val="20"/>
        </w:rPr>
        <w:t xml:space="preserve">, con una </w:t>
      </w:r>
      <w:r w:rsidR="000E0130" w:rsidRPr="000E0130">
        <w:rPr>
          <w:sz w:val="20"/>
          <w:szCs w:val="20"/>
        </w:rPr>
        <w:t xml:space="preserve">tramitación total de </w:t>
      </w:r>
      <w:r w:rsidR="00375A8A">
        <w:rPr>
          <w:sz w:val="20"/>
          <w:szCs w:val="20"/>
        </w:rPr>
        <w:t>2.040</w:t>
      </w:r>
      <w:r w:rsidR="000E0130" w:rsidRPr="000E0130">
        <w:rPr>
          <w:sz w:val="20"/>
          <w:szCs w:val="20"/>
        </w:rPr>
        <w:t xml:space="preserve"> expedientes sancionadores</w:t>
      </w:r>
      <w:r w:rsidR="000E0130">
        <w:rPr>
          <w:b w:val="0"/>
          <w:bCs w:val="0"/>
          <w:sz w:val="20"/>
          <w:szCs w:val="20"/>
        </w:rPr>
        <w:t xml:space="preserve">, </w:t>
      </w:r>
      <w:r w:rsidR="004C435C">
        <w:rPr>
          <w:b w:val="0"/>
          <w:bCs w:val="0"/>
          <w:sz w:val="20"/>
          <w:szCs w:val="20"/>
        </w:rPr>
        <w:t xml:space="preserve">entre los ejercicios 2019 a 2023, </w:t>
      </w:r>
      <w:r w:rsidR="000E0130">
        <w:rPr>
          <w:b w:val="0"/>
          <w:bCs w:val="0"/>
          <w:sz w:val="20"/>
          <w:szCs w:val="20"/>
        </w:rPr>
        <w:t xml:space="preserve">únicamente se han interpuesto </w:t>
      </w:r>
      <w:r w:rsidR="000E0130" w:rsidRPr="000E0130">
        <w:rPr>
          <w:sz w:val="20"/>
          <w:szCs w:val="20"/>
        </w:rPr>
        <w:t>2</w:t>
      </w:r>
      <w:r w:rsidR="004C435C">
        <w:rPr>
          <w:sz w:val="20"/>
          <w:szCs w:val="20"/>
        </w:rPr>
        <w:t>7</w:t>
      </w:r>
      <w:r w:rsidR="000E0130" w:rsidRPr="000E0130">
        <w:rPr>
          <w:sz w:val="20"/>
          <w:szCs w:val="20"/>
        </w:rPr>
        <w:t xml:space="preserve"> recursos de reposición</w:t>
      </w:r>
      <w:r w:rsidR="000E0130">
        <w:rPr>
          <w:b w:val="0"/>
          <w:bCs w:val="0"/>
          <w:sz w:val="20"/>
          <w:szCs w:val="20"/>
        </w:rPr>
        <w:t xml:space="preserve"> por los interesados (1,</w:t>
      </w:r>
      <w:r w:rsidR="004C435C">
        <w:rPr>
          <w:b w:val="0"/>
          <w:bCs w:val="0"/>
          <w:sz w:val="20"/>
          <w:szCs w:val="20"/>
        </w:rPr>
        <w:t>32</w:t>
      </w:r>
      <w:r w:rsidR="000E0130">
        <w:rPr>
          <w:b w:val="0"/>
          <w:bCs w:val="0"/>
          <w:sz w:val="20"/>
          <w:szCs w:val="20"/>
        </w:rPr>
        <w:t xml:space="preserve">%). </w:t>
      </w:r>
      <w:r w:rsidR="00673901">
        <w:rPr>
          <w:b w:val="0"/>
          <w:bCs w:val="0"/>
          <w:sz w:val="20"/>
          <w:szCs w:val="20"/>
        </w:rPr>
        <w:t>Se reproducen los recursos de reposición interpuestos y cómo se han resuelto los mismos:</w:t>
      </w:r>
    </w:p>
    <w:p w14:paraId="5C43B934" w14:textId="77777777" w:rsidR="00270519" w:rsidRDefault="00270519" w:rsidP="00012FA4">
      <w:pPr>
        <w:pStyle w:val="AsuntoAPV"/>
        <w:ind w:left="0"/>
        <w:rPr>
          <w:b w:val="0"/>
          <w:bCs w:val="0"/>
          <w:sz w:val="20"/>
          <w:szCs w:val="20"/>
        </w:rPr>
      </w:pPr>
    </w:p>
    <w:tbl>
      <w:tblPr>
        <w:tblW w:w="6113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97"/>
        <w:gridCol w:w="697"/>
        <w:gridCol w:w="696"/>
        <w:gridCol w:w="652"/>
        <w:gridCol w:w="652"/>
      </w:tblGrid>
      <w:tr w:rsidR="004C435C" w:rsidRPr="00673901" w14:paraId="6CE0412B" w14:textId="200A5AB2" w:rsidTr="00295957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E94D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B9EF01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2019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312C825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2020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29518AB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2021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20966F9E" w14:textId="6AC04DAC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202</w:t>
            </w:r>
            <w:r>
              <w:rPr>
                <w:rFonts w:eastAsia="Times New Roman" w:cstheme="minorHAnsi"/>
                <w:color w:val="231F20"/>
                <w:lang w:val="es-ES" w:eastAsia="es-ES"/>
              </w:rPr>
              <w:t>2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48461D74" w14:textId="26D5F355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202</w:t>
            </w:r>
            <w:r>
              <w:rPr>
                <w:rFonts w:eastAsia="Times New Roman" w:cstheme="minorHAnsi"/>
                <w:color w:val="231F20"/>
                <w:lang w:val="es-ES" w:eastAsia="es-ES"/>
              </w:rPr>
              <w:t>3</w:t>
            </w:r>
          </w:p>
        </w:tc>
      </w:tr>
      <w:tr w:rsidR="004C435C" w:rsidRPr="00673901" w14:paraId="4EDCFC28" w14:textId="44E4CD39" w:rsidTr="00295957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3101C8" w14:textId="5830A15D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SILENCIO ADMINISTRATIVO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5DA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5033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6A41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9F4F7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1D4A2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</w:p>
        </w:tc>
      </w:tr>
      <w:tr w:rsidR="004C435C" w:rsidRPr="00673901" w14:paraId="44086B2B" w14:textId="136704ED" w:rsidTr="00295957">
        <w:trPr>
          <w:trHeight w:val="30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C25B62" w14:textId="3214960C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RESOLUCIÓN EXPRESA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4F9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482F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F324" w14:textId="77777777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2D007" w14:textId="78E4BF25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lang w:val="es-ES" w:eastAsia="es-ES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4A2CE" w14:textId="7D46B719" w:rsidR="004C435C" w:rsidRPr="00673901" w:rsidRDefault="004C435C" w:rsidP="004C435C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lang w:val="es-ES" w:eastAsia="es-ES"/>
              </w:rPr>
              <w:t>10</w:t>
            </w:r>
          </w:p>
        </w:tc>
      </w:tr>
    </w:tbl>
    <w:p w14:paraId="3781510C" w14:textId="09C66E4E" w:rsidR="00673901" w:rsidRDefault="00673901" w:rsidP="00012FA4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</w:p>
    <w:p w14:paraId="3567301C" w14:textId="6DA9145C" w:rsidR="002219CA" w:rsidRPr="00751652" w:rsidRDefault="002219CA" w:rsidP="002219CA">
      <w:pPr>
        <w:pStyle w:val="AsuntoAPV"/>
        <w:ind w:left="0"/>
        <w:rPr>
          <w:sz w:val="20"/>
          <w:szCs w:val="20"/>
          <w:u w:val="single"/>
        </w:rPr>
      </w:pPr>
      <w:r w:rsidRPr="00751652">
        <w:rPr>
          <w:sz w:val="20"/>
          <w:szCs w:val="20"/>
          <w:u w:val="single"/>
        </w:rPr>
        <w:t>Tipos de infracciones tramitadas en los expedientes sancionadores</w:t>
      </w:r>
    </w:p>
    <w:p w14:paraId="63F4C693" w14:textId="77777777" w:rsidR="00270519" w:rsidRDefault="00270519" w:rsidP="002219CA">
      <w:pPr>
        <w:pStyle w:val="AsuntoAPV"/>
        <w:ind w:left="0"/>
        <w:rPr>
          <w:b w:val="0"/>
          <w:bCs w:val="0"/>
          <w:sz w:val="20"/>
          <w:szCs w:val="20"/>
        </w:rPr>
      </w:pPr>
    </w:p>
    <w:p w14:paraId="618472E7" w14:textId="5AC8C9DB" w:rsidR="002219CA" w:rsidRPr="006B42D1" w:rsidRDefault="002219CA" w:rsidP="002219CA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Las infracciones administrativas en el ámbito portuario estatal pueden ser de muy diversa índole, constituyendo éstas las acciones y omisiones tipificadas en los artículos 306 a 308 del TRLPEMM. No obstante, en la práctica habitual, más del </w:t>
      </w:r>
      <w:r w:rsidRPr="007B29D0">
        <w:rPr>
          <w:sz w:val="20"/>
          <w:szCs w:val="20"/>
        </w:rPr>
        <w:t>9</w:t>
      </w:r>
      <w:r w:rsidR="007B29D0">
        <w:rPr>
          <w:sz w:val="20"/>
          <w:szCs w:val="20"/>
        </w:rPr>
        <w:t>7</w:t>
      </w:r>
      <w:r w:rsidRPr="007B29D0">
        <w:rPr>
          <w:sz w:val="20"/>
          <w:szCs w:val="20"/>
        </w:rPr>
        <w:t>%</w:t>
      </w:r>
      <w:r w:rsidRPr="00052EE1">
        <w:rPr>
          <w:sz w:val="20"/>
          <w:szCs w:val="20"/>
        </w:rPr>
        <w:t xml:space="preserve"> de los expedientes sancionadores</w:t>
      </w:r>
      <w:r>
        <w:rPr>
          <w:b w:val="0"/>
          <w:bCs w:val="0"/>
          <w:sz w:val="20"/>
          <w:szCs w:val="20"/>
        </w:rPr>
        <w:t xml:space="preserve"> se deben a </w:t>
      </w:r>
      <w:r w:rsidRPr="00052EE1">
        <w:rPr>
          <w:b w:val="0"/>
          <w:bCs w:val="0"/>
          <w:sz w:val="20"/>
          <w:szCs w:val="20"/>
        </w:rPr>
        <w:t>infracciones por</w:t>
      </w:r>
      <w:r w:rsidRPr="00052EE1">
        <w:rPr>
          <w:sz w:val="20"/>
          <w:szCs w:val="20"/>
        </w:rPr>
        <w:t xml:space="preserve"> estacionamientos indebidos</w:t>
      </w:r>
      <w:r>
        <w:rPr>
          <w:b w:val="0"/>
          <w:bCs w:val="0"/>
          <w:sz w:val="20"/>
          <w:szCs w:val="20"/>
        </w:rPr>
        <w:t xml:space="preserve"> </w:t>
      </w:r>
      <w:r w:rsidRPr="00052EE1">
        <w:rPr>
          <w:sz w:val="20"/>
          <w:szCs w:val="20"/>
        </w:rPr>
        <w:t>en la zona de servicio portuaria</w:t>
      </w:r>
      <w:r>
        <w:rPr>
          <w:sz w:val="20"/>
          <w:szCs w:val="20"/>
        </w:rPr>
        <w:t xml:space="preserve"> </w:t>
      </w:r>
      <w:r w:rsidRPr="006B42D1">
        <w:rPr>
          <w:b w:val="0"/>
          <w:bCs w:val="0"/>
          <w:sz w:val="20"/>
          <w:szCs w:val="20"/>
        </w:rPr>
        <w:t>(en adelante</w:t>
      </w:r>
      <w:r>
        <w:rPr>
          <w:b w:val="0"/>
          <w:bCs w:val="0"/>
          <w:sz w:val="20"/>
          <w:szCs w:val="20"/>
        </w:rPr>
        <w:t>,</w:t>
      </w:r>
      <w:r w:rsidRPr="006B42D1">
        <w:rPr>
          <w:b w:val="0"/>
          <w:bCs w:val="0"/>
          <w:sz w:val="20"/>
          <w:szCs w:val="20"/>
        </w:rPr>
        <w:t xml:space="preserve"> tráfico)</w:t>
      </w:r>
      <w:r>
        <w:rPr>
          <w:b w:val="0"/>
          <w:bCs w:val="0"/>
          <w:sz w:val="20"/>
          <w:szCs w:val="20"/>
        </w:rPr>
        <w:t xml:space="preserve"> por vulneración del Reglamento de Explotación y Policía del Puerto, siendo la sanción impuesta entre 120€ y 240€.</w:t>
      </w:r>
      <w:r w:rsidRPr="006B42D1">
        <w:rPr>
          <w:b w:val="0"/>
          <w:bCs w:val="0"/>
          <w:sz w:val="20"/>
          <w:szCs w:val="20"/>
        </w:rPr>
        <w:t xml:space="preserve"> </w:t>
      </w:r>
    </w:p>
    <w:p w14:paraId="3138EF18" w14:textId="77777777" w:rsidR="002219CA" w:rsidRDefault="002219CA" w:rsidP="002219CA">
      <w:pPr>
        <w:pStyle w:val="AsuntoAPV"/>
        <w:ind w:left="0"/>
        <w:rPr>
          <w:b w:val="0"/>
          <w:bCs w:val="0"/>
          <w:sz w:val="20"/>
          <w:szCs w:val="20"/>
        </w:rPr>
      </w:pPr>
    </w:p>
    <w:p w14:paraId="70394A20" w14:textId="70EC6434" w:rsidR="002219CA" w:rsidRDefault="002219CA" w:rsidP="002219CA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 efectos ilustrativos, se reproducen los porcentajes de los expedientes sancionadores que corresponden a tráfico y que corresponde a otro tipo de infracción portuaria de los ejercicios 201</w:t>
      </w:r>
      <w:r w:rsidR="007B29D0">
        <w:rPr>
          <w:b w:val="0"/>
          <w:bCs w:val="0"/>
          <w:sz w:val="20"/>
          <w:szCs w:val="20"/>
        </w:rPr>
        <w:t>9</w:t>
      </w:r>
      <w:r>
        <w:rPr>
          <w:b w:val="0"/>
          <w:bCs w:val="0"/>
          <w:sz w:val="20"/>
          <w:szCs w:val="20"/>
        </w:rPr>
        <w:t xml:space="preserve"> a 202</w:t>
      </w:r>
      <w:r w:rsidR="007B29D0">
        <w:rPr>
          <w:b w:val="0"/>
          <w:bCs w:val="0"/>
          <w:sz w:val="20"/>
          <w:szCs w:val="20"/>
        </w:rPr>
        <w:t>3</w:t>
      </w:r>
      <w:r>
        <w:rPr>
          <w:b w:val="0"/>
          <w:bCs w:val="0"/>
          <w:sz w:val="20"/>
          <w:szCs w:val="20"/>
        </w:rPr>
        <w:t>:</w:t>
      </w:r>
    </w:p>
    <w:tbl>
      <w:tblPr>
        <w:tblW w:w="6663" w:type="dxa"/>
        <w:tblInd w:w="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75"/>
        <w:gridCol w:w="65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3B10" w:rsidRPr="00FD47A8" w14:paraId="5136996C" w14:textId="48EB74AA" w:rsidTr="00EC3B10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88F" w14:textId="77777777" w:rsidR="00EC3B10" w:rsidRPr="00FD47A8" w:rsidRDefault="00EC3B10" w:rsidP="00636FC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CCA401" w14:textId="77777777" w:rsidR="00EC3B10" w:rsidRPr="00FD47A8" w:rsidRDefault="00EC3B10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BC7A5B" w14:textId="77777777" w:rsidR="00EC3B10" w:rsidRPr="00FD47A8" w:rsidRDefault="00EC3B10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AEAD2F" w14:textId="77777777" w:rsidR="00EC3B10" w:rsidRPr="00FD47A8" w:rsidRDefault="00EC3B10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23BFD9C" w14:textId="2D01490B" w:rsidR="00EC3B10" w:rsidRPr="00FD47A8" w:rsidRDefault="00EC3B10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BE78024" w14:textId="525A31EB" w:rsidR="00EC3B10" w:rsidRPr="00FD47A8" w:rsidRDefault="00EC3B10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2023</w:t>
            </w:r>
          </w:p>
        </w:tc>
      </w:tr>
      <w:tr w:rsidR="00295957" w:rsidRPr="00FD47A8" w14:paraId="5553E427" w14:textId="4B2BAB83" w:rsidTr="00DB62C1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A8AAAA" w14:textId="77777777" w:rsidR="00295957" w:rsidRPr="00FD47A8" w:rsidRDefault="00295957" w:rsidP="00636FC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TRAFICO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46B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248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52D2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F817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DDD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A5F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EB7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E9510" w14:textId="379792AF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9C081" w14:textId="2391CE5F" w:rsidR="00295957" w:rsidRPr="00FD47A8" w:rsidRDefault="007B29D0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16FA6" w14:textId="68F07ED5" w:rsidR="00295957" w:rsidRPr="00FD47A8" w:rsidRDefault="007B29D0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9089" w14:textId="3E57BEFA" w:rsidR="00295957" w:rsidRPr="00FD47A8" w:rsidRDefault="007B29D0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97%</w:t>
            </w:r>
          </w:p>
        </w:tc>
      </w:tr>
      <w:tr w:rsidR="00295957" w:rsidRPr="00FD47A8" w14:paraId="1B5DE7A5" w14:textId="1E38D0B5" w:rsidTr="00E56A5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648590" w14:textId="77777777" w:rsidR="00295957" w:rsidRPr="00FD47A8" w:rsidRDefault="00295957" w:rsidP="00636FC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OTROS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BC09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8E6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28CD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19F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CFBD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A5F" w14:textId="77777777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5C40D" w14:textId="4CE31A7E" w:rsidR="00295957" w:rsidRPr="00FD47A8" w:rsidRDefault="00295957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62207" w14:textId="3CF9F38D" w:rsidR="00295957" w:rsidRPr="00FD47A8" w:rsidRDefault="007B29D0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1F396" w14:textId="17C2633A" w:rsidR="00295957" w:rsidRPr="00FD47A8" w:rsidRDefault="007B29D0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69AD" w14:textId="6F29F211" w:rsidR="00295957" w:rsidRPr="00FD47A8" w:rsidRDefault="007B29D0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3%</w:t>
            </w:r>
          </w:p>
        </w:tc>
      </w:tr>
      <w:tr w:rsidR="00EC3B10" w:rsidRPr="00FD47A8" w14:paraId="02DA3DED" w14:textId="3F01D4FC" w:rsidTr="00EC3B10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334" w14:textId="77777777" w:rsidR="00EC3B10" w:rsidRPr="00FD47A8" w:rsidRDefault="00EC3B10" w:rsidP="00636FC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6183F9" w14:textId="77777777" w:rsidR="00EC3B10" w:rsidRPr="00FD47A8" w:rsidRDefault="00EC3B10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251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10A6FF" w14:textId="77777777" w:rsidR="00EC3B10" w:rsidRPr="00FD47A8" w:rsidRDefault="00EC3B10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256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E35FAC" w14:textId="77777777" w:rsidR="00EC3B10" w:rsidRPr="00FD47A8" w:rsidRDefault="00EC3B10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D47A8">
              <w:rPr>
                <w:rFonts w:ascii="Calibri" w:eastAsia="Times New Roman" w:hAnsi="Calibri" w:cs="Calibri"/>
                <w:color w:val="000000"/>
                <w:lang w:val="es-ES" w:eastAsia="es-ES"/>
              </w:rPr>
              <w:t>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937B5C9" w14:textId="7B5566C2" w:rsidR="00EC3B10" w:rsidRPr="00FD47A8" w:rsidRDefault="00295957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45497CC" w14:textId="35CFC193" w:rsidR="00EC3B10" w:rsidRPr="00FD47A8" w:rsidRDefault="00295957" w:rsidP="00636FCC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547</w:t>
            </w:r>
          </w:p>
        </w:tc>
      </w:tr>
    </w:tbl>
    <w:p w14:paraId="09866AEB" w14:textId="77777777" w:rsidR="002219CA" w:rsidRDefault="002219CA" w:rsidP="002219CA">
      <w:pPr>
        <w:pStyle w:val="AsuntoAPV"/>
        <w:ind w:left="0"/>
        <w:rPr>
          <w:b w:val="0"/>
          <w:bCs w:val="0"/>
          <w:sz w:val="20"/>
          <w:szCs w:val="20"/>
        </w:rPr>
      </w:pPr>
    </w:p>
    <w:p w14:paraId="64451332" w14:textId="580F7BB8" w:rsidR="002219CA" w:rsidRDefault="002219CA" w:rsidP="002219CA">
      <w:pPr>
        <w:pStyle w:val="AsuntoAPV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Respecto a las infracciones que no se corresponden con estacionamientos indebidos en la zona de servicio (</w:t>
      </w:r>
      <w:r w:rsidR="007B29D0">
        <w:rPr>
          <w:b w:val="0"/>
          <w:bCs w:val="0"/>
          <w:sz w:val="20"/>
          <w:szCs w:val="20"/>
        </w:rPr>
        <w:t>3</w:t>
      </w:r>
      <w:r>
        <w:rPr>
          <w:b w:val="0"/>
          <w:bCs w:val="0"/>
          <w:sz w:val="20"/>
          <w:szCs w:val="20"/>
        </w:rPr>
        <w:t>%) se han tramitado los siguientes expedientes sancionadores:</w:t>
      </w:r>
    </w:p>
    <w:p w14:paraId="5F2093D6" w14:textId="77777777" w:rsidR="002219CA" w:rsidRDefault="002219CA" w:rsidP="002219CA">
      <w:pPr>
        <w:pStyle w:val="AsuntoAPV"/>
        <w:ind w:left="0"/>
        <w:rPr>
          <w:b w:val="0"/>
          <w:bCs w:val="0"/>
          <w:sz w:val="20"/>
          <w:szCs w:val="20"/>
        </w:rPr>
      </w:pPr>
    </w:p>
    <w:tbl>
      <w:tblPr>
        <w:tblW w:w="835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6"/>
        <w:gridCol w:w="707"/>
        <w:gridCol w:w="587"/>
        <w:gridCol w:w="711"/>
        <w:gridCol w:w="711"/>
        <w:gridCol w:w="711"/>
      </w:tblGrid>
      <w:tr w:rsidR="007B29D0" w:rsidRPr="00673901" w14:paraId="17EF2234" w14:textId="52F5ACF6" w:rsidTr="007B29D0">
        <w:trPr>
          <w:trHeight w:val="479"/>
        </w:trPr>
        <w:tc>
          <w:tcPr>
            <w:tcW w:w="4926" w:type="dxa"/>
            <w:shd w:val="clear" w:color="000000" w:fill="D6DCE4"/>
            <w:vAlign w:val="center"/>
            <w:hideMark/>
          </w:tcPr>
          <w:p w14:paraId="7FD46263" w14:textId="13D99779" w:rsidR="007B29D0" w:rsidRPr="002219CA" w:rsidRDefault="002A4FF3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  <w:t>HECHOS DENUNCIADOS</w:t>
            </w:r>
          </w:p>
        </w:tc>
        <w:tc>
          <w:tcPr>
            <w:tcW w:w="707" w:type="dxa"/>
            <w:shd w:val="clear" w:color="000000" w:fill="D6DCE4"/>
            <w:vAlign w:val="center"/>
            <w:hideMark/>
          </w:tcPr>
          <w:p w14:paraId="63DD9A17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  <w:t>2019</w:t>
            </w:r>
          </w:p>
        </w:tc>
        <w:tc>
          <w:tcPr>
            <w:tcW w:w="587" w:type="dxa"/>
            <w:shd w:val="clear" w:color="000000" w:fill="D6DCE4"/>
            <w:vAlign w:val="center"/>
            <w:hideMark/>
          </w:tcPr>
          <w:p w14:paraId="476D4A7C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  <w:t>2020</w:t>
            </w:r>
          </w:p>
        </w:tc>
        <w:tc>
          <w:tcPr>
            <w:tcW w:w="711" w:type="dxa"/>
            <w:shd w:val="clear" w:color="000000" w:fill="D6DCE4"/>
            <w:vAlign w:val="center"/>
            <w:hideMark/>
          </w:tcPr>
          <w:p w14:paraId="46CF40A0" w14:textId="77777777" w:rsidR="007B29D0" w:rsidRPr="007B29D0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7B29D0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  <w:t>2021</w:t>
            </w:r>
          </w:p>
        </w:tc>
        <w:tc>
          <w:tcPr>
            <w:tcW w:w="711" w:type="dxa"/>
            <w:shd w:val="clear" w:color="000000" w:fill="D6DCE4"/>
            <w:vAlign w:val="center"/>
          </w:tcPr>
          <w:p w14:paraId="73B25316" w14:textId="083A25C0" w:rsidR="007B29D0" w:rsidRPr="007B29D0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7B29D0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  <w:t>202</w:t>
            </w:r>
            <w:r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11" w:type="dxa"/>
            <w:shd w:val="clear" w:color="000000" w:fill="D6DCE4"/>
            <w:vAlign w:val="center"/>
          </w:tcPr>
          <w:p w14:paraId="5A69F0DF" w14:textId="1DE99232" w:rsidR="007B29D0" w:rsidRPr="007B29D0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</w:pPr>
            <w:r w:rsidRPr="007B29D0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  <w:t>202</w:t>
            </w:r>
            <w:r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val="es-ES" w:eastAsia="es-ES"/>
              </w:rPr>
              <w:t>3</w:t>
            </w:r>
          </w:p>
        </w:tc>
      </w:tr>
      <w:tr w:rsidR="007B29D0" w:rsidRPr="00673901" w14:paraId="42B47E9C" w14:textId="35C67790" w:rsidTr="007B29D0">
        <w:trPr>
          <w:trHeight w:val="350"/>
        </w:trPr>
        <w:tc>
          <w:tcPr>
            <w:tcW w:w="4926" w:type="dxa"/>
            <w:shd w:val="clear" w:color="000000" w:fill="D6DCE4"/>
            <w:vAlign w:val="center"/>
            <w:hideMark/>
          </w:tcPr>
          <w:p w14:paraId="4BFFE3D4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OBSTRUCCIÓN EJERCICIO POLICÍA PORTUARIA</w:t>
            </w:r>
          </w:p>
          <w:p w14:paraId="32D42C09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Sanción entre 300 y 600 €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F1E48B7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57D8610E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310485B" w14:textId="77777777" w:rsidR="007B29D0" w:rsidRPr="00673901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 </w:t>
            </w:r>
          </w:p>
        </w:tc>
        <w:tc>
          <w:tcPr>
            <w:tcW w:w="711" w:type="dxa"/>
            <w:vAlign w:val="center"/>
          </w:tcPr>
          <w:p w14:paraId="470511BD" w14:textId="1D94B0F6" w:rsidR="007B29D0" w:rsidRPr="00673901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 </w:t>
            </w:r>
            <w:r w:rsidR="002A4FF3">
              <w:rPr>
                <w:rFonts w:eastAsia="Times New Roman" w:cstheme="minorHAnsi"/>
                <w:color w:val="231F20"/>
                <w:lang w:val="es-ES" w:eastAsia="es-ES"/>
              </w:rPr>
              <w:t>5</w:t>
            </w:r>
          </w:p>
        </w:tc>
        <w:tc>
          <w:tcPr>
            <w:tcW w:w="711" w:type="dxa"/>
            <w:vAlign w:val="center"/>
          </w:tcPr>
          <w:p w14:paraId="1D015A67" w14:textId="20712889" w:rsidR="007B29D0" w:rsidRPr="00673901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 </w:t>
            </w:r>
            <w:r w:rsidR="002A4FF3">
              <w:rPr>
                <w:rFonts w:eastAsia="Times New Roman" w:cstheme="minorHAnsi"/>
                <w:color w:val="231F20"/>
                <w:lang w:val="es-ES" w:eastAsia="es-ES"/>
              </w:rPr>
              <w:t>1</w:t>
            </w:r>
          </w:p>
        </w:tc>
      </w:tr>
      <w:tr w:rsidR="007B29D0" w:rsidRPr="00673901" w14:paraId="2F4684F4" w14:textId="1910206E" w:rsidTr="007B29D0">
        <w:trPr>
          <w:trHeight w:val="340"/>
        </w:trPr>
        <w:tc>
          <w:tcPr>
            <w:tcW w:w="4926" w:type="dxa"/>
            <w:shd w:val="clear" w:color="000000" w:fill="D6DCE4"/>
            <w:vAlign w:val="center"/>
            <w:hideMark/>
          </w:tcPr>
          <w:p w14:paraId="2169FF50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CONDUCTA CON RIESGO GRAVE PARA LAS PERSONAS</w:t>
            </w:r>
          </w:p>
          <w:p w14:paraId="7A747554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Sanción entre 300 y 600 €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8CADDAC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09A6D2C6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FF0ADC0" w14:textId="77777777" w:rsidR="007B29D0" w:rsidRPr="00673901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 </w:t>
            </w:r>
          </w:p>
        </w:tc>
        <w:tc>
          <w:tcPr>
            <w:tcW w:w="711" w:type="dxa"/>
            <w:vAlign w:val="center"/>
          </w:tcPr>
          <w:p w14:paraId="44697D94" w14:textId="66F2FC38" w:rsidR="007B29D0" w:rsidRPr="00673901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 </w:t>
            </w:r>
          </w:p>
        </w:tc>
        <w:tc>
          <w:tcPr>
            <w:tcW w:w="711" w:type="dxa"/>
            <w:vAlign w:val="center"/>
          </w:tcPr>
          <w:p w14:paraId="10817E00" w14:textId="52135624" w:rsidR="007B29D0" w:rsidRPr="00673901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lang w:val="es-ES" w:eastAsia="es-ES"/>
              </w:rPr>
            </w:pPr>
            <w:r w:rsidRPr="00673901">
              <w:rPr>
                <w:rFonts w:eastAsia="Times New Roman" w:cstheme="minorHAnsi"/>
                <w:color w:val="231F20"/>
                <w:lang w:val="es-ES" w:eastAsia="es-ES"/>
              </w:rPr>
              <w:t> </w:t>
            </w:r>
          </w:p>
        </w:tc>
      </w:tr>
      <w:tr w:rsidR="007B29D0" w:rsidRPr="00673901" w14:paraId="3EEEEBC1" w14:textId="426A65C9" w:rsidTr="007B29D0">
        <w:trPr>
          <w:trHeight w:val="300"/>
        </w:trPr>
        <w:tc>
          <w:tcPr>
            <w:tcW w:w="4926" w:type="dxa"/>
            <w:shd w:val="clear" w:color="000000" w:fill="D6DCE4"/>
            <w:vAlign w:val="center"/>
            <w:hideMark/>
          </w:tcPr>
          <w:p w14:paraId="3F675530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ACCESO ZONA RESTRINGIDA SIN AUTORIZACIÓN</w:t>
            </w:r>
          </w:p>
          <w:p w14:paraId="7A3BF663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lastRenderedPageBreak/>
              <w:t>Sanción entre 250 y 500 €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8C8C25E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lastRenderedPageBreak/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58D56F4E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F1BF767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711" w:type="dxa"/>
            <w:vAlign w:val="center"/>
          </w:tcPr>
          <w:p w14:paraId="04D89DED" w14:textId="4CDA89A5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14:paraId="633F4C25" w14:textId="302CC7E4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 xml:space="preserve"> </w:t>
            </w:r>
            <w:r w:rsidR="002A4FF3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3</w:t>
            </w:r>
          </w:p>
        </w:tc>
      </w:tr>
      <w:tr w:rsidR="007B29D0" w:rsidRPr="00673901" w14:paraId="0E17E9C1" w14:textId="6860A6D5" w:rsidTr="007B29D0">
        <w:trPr>
          <w:trHeight w:val="350"/>
        </w:trPr>
        <w:tc>
          <w:tcPr>
            <w:tcW w:w="4926" w:type="dxa"/>
            <w:shd w:val="clear" w:color="000000" w:fill="D6DCE4"/>
            <w:vAlign w:val="center"/>
            <w:hideMark/>
          </w:tcPr>
          <w:p w14:paraId="6ED733EF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DAÑOS A BIENES DE DOMINIO PÚBLICO</w:t>
            </w:r>
          </w:p>
          <w:p w14:paraId="50F05C72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Sanciones de 15.000 y 25.000 €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2014097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2517B1B4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9091FDC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11" w:type="dxa"/>
            <w:vAlign w:val="center"/>
          </w:tcPr>
          <w:p w14:paraId="7E7FD395" w14:textId="6230C9FA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14:paraId="0B2ACF73" w14:textId="08E31BDA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7B29D0" w:rsidRPr="00673901" w14:paraId="5700C701" w14:textId="4B263910" w:rsidTr="007B29D0">
        <w:trPr>
          <w:trHeight w:val="360"/>
        </w:trPr>
        <w:tc>
          <w:tcPr>
            <w:tcW w:w="4926" w:type="dxa"/>
            <w:shd w:val="clear" w:color="000000" w:fill="D6DCE4"/>
            <w:vAlign w:val="center"/>
            <w:hideMark/>
          </w:tcPr>
          <w:p w14:paraId="466F58BF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VERTIDOS NO AUTORIZADOS</w:t>
            </w:r>
          </w:p>
          <w:p w14:paraId="38AC63BD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Sanción 25.000 €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1D3A6A1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FAC548A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341B1B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11" w:type="dxa"/>
            <w:vAlign w:val="center"/>
          </w:tcPr>
          <w:p w14:paraId="53991CE7" w14:textId="03B7AFEC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14:paraId="34A6C2E5" w14:textId="38AD0412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7B29D0" w:rsidRPr="00673901" w14:paraId="1BB5CA35" w14:textId="73D9740F" w:rsidTr="007B29D0">
        <w:trPr>
          <w:trHeight w:val="340"/>
        </w:trPr>
        <w:tc>
          <w:tcPr>
            <w:tcW w:w="4926" w:type="dxa"/>
            <w:shd w:val="clear" w:color="000000" w:fill="D6DCE4"/>
            <w:vAlign w:val="center"/>
            <w:hideMark/>
          </w:tcPr>
          <w:p w14:paraId="53DF564A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OCULTACIÓN MERCANCÍAS PELIGROSAS</w:t>
            </w:r>
          </w:p>
          <w:p w14:paraId="39FE486C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Sanciones de 800, 1.800 y 2.500 €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AC5724D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73BEB72E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6865D4A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 w:rsidRPr="002219CA"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711" w:type="dxa"/>
            <w:vAlign w:val="center"/>
          </w:tcPr>
          <w:p w14:paraId="1A8D1D47" w14:textId="7691B831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14:paraId="2976A6B9" w14:textId="6A3899E6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7B29D0" w:rsidRPr="00673901" w14:paraId="4DB701B8" w14:textId="77777777" w:rsidTr="007B29D0">
        <w:trPr>
          <w:trHeight w:val="340"/>
        </w:trPr>
        <w:tc>
          <w:tcPr>
            <w:tcW w:w="4926" w:type="dxa"/>
            <w:shd w:val="clear" w:color="000000" w:fill="D6DCE4"/>
            <w:vAlign w:val="center"/>
          </w:tcPr>
          <w:p w14:paraId="04218613" w14:textId="59D435A8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PRACTICAR LA PESCA SIN AUTORIZACIÓN</w:t>
            </w:r>
            <w:r w:rsidR="002A4FF3"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 xml:space="preserve"> EN ZONA PORTUARIA</w:t>
            </w:r>
          </w:p>
          <w:p w14:paraId="363F2C99" w14:textId="3F7AEDBA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Sanción 240 €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09EBBA1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490E55B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5BBB40A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center"/>
          </w:tcPr>
          <w:p w14:paraId="1CF6D7A0" w14:textId="6C558317" w:rsidR="007B29D0" w:rsidRDefault="002A4FF3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11" w:type="dxa"/>
            <w:vAlign w:val="center"/>
          </w:tcPr>
          <w:p w14:paraId="44BACF7F" w14:textId="40FD518A" w:rsidR="007B29D0" w:rsidRDefault="002A4FF3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2</w:t>
            </w:r>
          </w:p>
        </w:tc>
      </w:tr>
      <w:tr w:rsidR="007B29D0" w:rsidRPr="00673901" w14:paraId="2B113853" w14:textId="77777777" w:rsidTr="007B29D0">
        <w:trPr>
          <w:trHeight w:val="340"/>
        </w:trPr>
        <w:tc>
          <w:tcPr>
            <w:tcW w:w="4926" w:type="dxa"/>
            <w:shd w:val="clear" w:color="000000" w:fill="D6DCE4"/>
            <w:vAlign w:val="center"/>
          </w:tcPr>
          <w:p w14:paraId="4142C132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OMISIÓN DE LA SOLICITUD DE LOS SERVICIOS DE PRACTICAJE O REMOLCADORES</w:t>
            </w:r>
          </w:p>
          <w:p w14:paraId="5FC3F9B7" w14:textId="36D99603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Sanción 60.000€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C4FBB51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9D20A77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9E82A68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center"/>
          </w:tcPr>
          <w:p w14:paraId="4AAFB3F1" w14:textId="2792EC43" w:rsidR="007B29D0" w:rsidRDefault="002A4FF3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11" w:type="dxa"/>
            <w:vAlign w:val="center"/>
          </w:tcPr>
          <w:p w14:paraId="51970E6C" w14:textId="77777777" w:rsidR="007B29D0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</w:tr>
      <w:tr w:rsidR="007B29D0" w:rsidRPr="00673901" w14:paraId="414A3C50" w14:textId="77777777" w:rsidTr="007B29D0">
        <w:trPr>
          <w:trHeight w:val="340"/>
        </w:trPr>
        <w:tc>
          <w:tcPr>
            <w:tcW w:w="4926" w:type="dxa"/>
            <w:shd w:val="clear" w:color="000000" w:fill="D6DCE4"/>
            <w:vAlign w:val="center"/>
          </w:tcPr>
          <w:p w14:paraId="797464C4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INCUMPLIMIENTO DE LAS CONDICIONES DEL TÍTULO</w:t>
            </w:r>
          </w:p>
          <w:p w14:paraId="4A48662E" w14:textId="331A2A99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Sanción 900 €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84D58A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100FF60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E51E375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center"/>
          </w:tcPr>
          <w:p w14:paraId="068FFAB1" w14:textId="4A7E9730" w:rsidR="007B29D0" w:rsidRDefault="002A4FF3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11" w:type="dxa"/>
            <w:vAlign w:val="center"/>
          </w:tcPr>
          <w:p w14:paraId="5C90FD17" w14:textId="77777777" w:rsidR="007B29D0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</w:tr>
      <w:tr w:rsidR="007B29D0" w:rsidRPr="00673901" w14:paraId="225DBBC6" w14:textId="77777777" w:rsidTr="007B29D0">
        <w:trPr>
          <w:trHeight w:val="340"/>
        </w:trPr>
        <w:tc>
          <w:tcPr>
            <w:tcW w:w="4926" w:type="dxa"/>
            <w:shd w:val="clear" w:color="000000" w:fill="D6DCE4"/>
            <w:vAlign w:val="center"/>
          </w:tcPr>
          <w:p w14:paraId="4725CEA9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PRACTICAR EL BAÑO EN ZONA PORTUARIA</w:t>
            </w:r>
          </w:p>
          <w:p w14:paraId="7AB68A78" w14:textId="4514666A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Sanción 120 €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EB09A4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EDDAFB9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9AB0933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center"/>
          </w:tcPr>
          <w:p w14:paraId="718CBDD2" w14:textId="77777777" w:rsidR="007B29D0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center"/>
          </w:tcPr>
          <w:p w14:paraId="3F5B0864" w14:textId="512E018F" w:rsidR="007B29D0" w:rsidRDefault="002A4FF3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9</w:t>
            </w:r>
          </w:p>
        </w:tc>
      </w:tr>
      <w:tr w:rsidR="007B29D0" w:rsidRPr="00673901" w14:paraId="4FF1FCCC" w14:textId="77777777" w:rsidTr="007B29D0">
        <w:trPr>
          <w:trHeight w:val="340"/>
        </w:trPr>
        <w:tc>
          <w:tcPr>
            <w:tcW w:w="4926" w:type="dxa"/>
            <w:shd w:val="clear" w:color="000000" w:fill="D6DCE4"/>
            <w:vAlign w:val="center"/>
          </w:tcPr>
          <w:p w14:paraId="78D92911" w14:textId="77777777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REALIZAR TRABAJOS DE PINTURA EN BUQUE SIN AUTORIZACIÓN</w:t>
            </w:r>
          </w:p>
          <w:p w14:paraId="5D1B173B" w14:textId="7BF46C15" w:rsidR="007B29D0" w:rsidRPr="002A4FF3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</w:pPr>
            <w:r w:rsidRPr="002A4FF3">
              <w:rPr>
                <w:rFonts w:eastAsia="Times New Roman" w:cstheme="minorHAnsi"/>
                <w:color w:val="231F20"/>
                <w:sz w:val="18"/>
                <w:szCs w:val="18"/>
                <w:lang w:val="es-ES" w:eastAsia="es-ES"/>
              </w:rPr>
              <w:t>Sanción 450 €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57078D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6CC9933F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C22CECD" w14:textId="77777777" w:rsidR="007B29D0" w:rsidRPr="002219CA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center"/>
          </w:tcPr>
          <w:p w14:paraId="2E644C24" w14:textId="77777777" w:rsidR="007B29D0" w:rsidRDefault="007B29D0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vAlign w:val="center"/>
          </w:tcPr>
          <w:p w14:paraId="58C9C75C" w14:textId="6CFEB066" w:rsidR="007B29D0" w:rsidRDefault="002A4FF3" w:rsidP="007B29D0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val="es-ES" w:eastAsia="es-ES"/>
              </w:rPr>
              <w:t>1</w:t>
            </w:r>
          </w:p>
        </w:tc>
      </w:tr>
    </w:tbl>
    <w:p w14:paraId="281B2381" w14:textId="77777777" w:rsidR="002219CA" w:rsidRDefault="002219CA" w:rsidP="002219CA">
      <w:pPr>
        <w:pStyle w:val="AsuntoAPV"/>
        <w:ind w:left="0"/>
        <w:rPr>
          <w:b w:val="0"/>
          <w:bCs w:val="0"/>
          <w:sz w:val="20"/>
          <w:szCs w:val="20"/>
        </w:rPr>
      </w:pPr>
    </w:p>
    <w:p w14:paraId="3BE143E9" w14:textId="5FBC2DBD" w:rsidR="00054269" w:rsidRDefault="00054269" w:rsidP="00E82031">
      <w:pPr>
        <w:pStyle w:val="AsuntoAPV"/>
        <w:rPr>
          <w:b w:val="0"/>
          <w:bCs w:val="0"/>
          <w:sz w:val="20"/>
          <w:szCs w:val="20"/>
        </w:rPr>
      </w:pPr>
    </w:p>
    <w:sectPr w:rsidR="00054269" w:rsidSect="006A62DA">
      <w:headerReference w:type="default" r:id="rId10"/>
      <w:footerReference w:type="default" r:id="rId11"/>
      <w:type w:val="continuous"/>
      <w:pgSz w:w="11900" w:h="16840" w:code="9"/>
      <w:pgMar w:top="2835" w:right="1418" w:bottom="284" w:left="1418" w:header="680" w:footer="1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60D9" w14:textId="77777777" w:rsidR="00B20175" w:rsidRDefault="00B20175" w:rsidP="00FB7137">
      <w:pPr>
        <w:spacing w:after="0" w:line="240" w:lineRule="auto"/>
      </w:pPr>
      <w:r>
        <w:separator/>
      </w:r>
    </w:p>
  </w:endnote>
  <w:endnote w:type="continuationSeparator" w:id="0">
    <w:p w14:paraId="16D55F57" w14:textId="77777777" w:rsidR="00B20175" w:rsidRDefault="00B20175" w:rsidP="00FB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378547"/>
      <w:docPartObj>
        <w:docPartGallery w:val="Page Numbers (Top of Page)"/>
        <w:docPartUnique/>
      </w:docPartObj>
    </w:sdtPr>
    <w:sdtEndPr>
      <w:rPr>
        <w:sz w:val="8"/>
        <w:szCs w:val="8"/>
      </w:rPr>
    </w:sdtEndPr>
    <w:sdtContent>
      <w:p w14:paraId="292792B3" w14:textId="77777777" w:rsidR="005648BC" w:rsidRDefault="005648BC" w:rsidP="00A46BF7">
        <w:pPr>
          <w:pStyle w:val="Piedepgina"/>
          <w:jc w:val="center"/>
          <w:rPr>
            <w:rFonts w:ascii="Arial" w:eastAsia="Arial" w:hAnsi="Arial" w:cs="Arial"/>
            <w:color w:val="231F20"/>
            <w:spacing w:val="-3"/>
            <w:sz w:val="14"/>
            <w:szCs w:val="14"/>
          </w:rPr>
        </w:pPr>
      </w:p>
      <w:tbl>
        <w:tblPr>
          <w:tblStyle w:val="Tablaconcuadrcula"/>
          <w:tblW w:w="0" w:type="auto"/>
          <w:tblInd w:w="4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39"/>
        </w:tblGrid>
        <w:tr w:rsidR="005648BC" w14:paraId="50519BF3" w14:textId="77777777" w:rsidTr="00E65C79">
          <w:trPr>
            <w:trHeight w:val="850"/>
          </w:trPr>
          <w:tc>
            <w:tcPr>
              <w:tcW w:w="8639" w:type="dxa"/>
            </w:tcPr>
            <w:p w14:paraId="6E33B271" w14:textId="77777777" w:rsidR="005648BC" w:rsidRDefault="005648BC" w:rsidP="00A46BF7">
              <w:pPr>
                <w:pStyle w:val="Piedepgina"/>
                <w:jc w:val="right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</w:p>
          </w:tc>
        </w:tr>
        <w:tr w:rsidR="005648BC" w14:paraId="4273A1D8" w14:textId="77777777" w:rsidTr="00E65C79">
          <w:tc>
            <w:tcPr>
              <w:tcW w:w="8639" w:type="dxa"/>
            </w:tcPr>
            <w:p w14:paraId="65D89FB4" w14:textId="77777777" w:rsidR="005648BC" w:rsidRDefault="005648BC" w:rsidP="00A46BF7">
              <w:pPr>
                <w:pStyle w:val="Piedepgina"/>
                <w:spacing w:before="60" w:after="60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3D4A09"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  <w:t>Avda. Muelle del Turia, s/n · 46024 València – España · NIF Q4667047G · Tel. +34 96 393 95 00 · Fax +34 96 393 95 99</w:t>
              </w:r>
            </w:p>
          </w:tc>
        </w:tr>
        <w:tr w:rsidR="005648BC" w14:paraId="5A262D40" w14:textId="77777777" w:rsidTr="00E65C79">
          <w:tc>
            <w:tcPr>
              <w:tcW w:w="8639" w:type="dxa"/>
            </w:tcPr>
            <w:p w14:paraId="6914B30F" w14:textId="77777777" w:rsidR="005648BC" w:rsidRPr="009C32A1" w:rsidRDefault="005648BC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  <w:lang w:val="en-US"/>
                </w:rPr>
              </w:pPr>
              <w:r w:rsidRPr="009C32A1">
                <w:rPr>
                  <w:rFonts w:ascii="Arial" w:eastAsia="Arial" w:hAnsi="Arial" w:cs="Arial"/>
                  <w:color w:val="231F20"/>
                  <w:sz w:val="14"/>
                  <w:szCs w:val="14"/>
                  <w:lang w:val="en-US"/>
                </w:rPr>
                <w:t xml:space="preserve">www.valenciaport.com </w:t>
              </w:r>
              <w:r w:rsidRPr="009C32A1">
                <w:rPr>
                  <w:rFonts w:ascii="Arial" w:eastAsia="Arial" w:hAnsi="Arial" w:cs="Arial"/>
                  <w:color w:val="231F20"/>
                  <w:w w:val="83"/>
                  <w:sz w:val="14"/>
                  <w:szCs w:val="14"/>
                  <w:lang w:val="en-US"/>
                </w:rPr>
                <w:t xml:space="preserve">· </w:t>
              </w:r>
              <w:r w:rsidRPr="002963C5">
                <w:rPr>
                  <w:rFonts w:ascii="Arial" w:eastAsia="Arial" w:hAnsi="Arial" w:cs="Arial"/>
                  <w:sz w:val="14"/>
                  <w:szCs w:val="14"/>
                  <w:lang w:val="en-US"/>
                </w:rPr>
                <w:t>www.valenciaportse.gob.es</w:t>
              </w:r>
            </w:p>
          </w:tc>
        </w:tr>
        <w:tr w:rsidR="005648BC" w14:paraId="31B5E020" w14:textId="77777777" w:rsidTr="00E65C79">
          <w:tc>
            <w:tcPr>
              <w:tcW w:w="8639" w:type="dxa"/>
            </w:tcPr>
            <w:p w14:paraId="05A2D22F" w14:textId="77777777" w:rsidR="005648BC" w:rsidRDefault="005648BC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  <w:lang w:val="en-US"/>
                </w:rPr>
              </w:pPr>
            </w:p>
            <w:p w14:paraId="5266180F" w14:textId="77777777" w:rsidR="005648BC" w:rsidRPr="009C32A1" w:rsidRDefault="005648BC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  <w:lang w:val="en-US"/>
                </w:rPr>
              </w:pP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begin"/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instrText>PAGE</w:instrTex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separate"/>
              </w:r>
              <w:r w:rsidR="008A4E0E">
                <w:rPr>
                  <w:rFonts w:ascii="Arial" w:hAnsi="Arial" w:cs="Arial"/>
                  <w:bCs/>
                  <w:noProof/>
                  <w:sz w:val="14"/>
                  <w:szCs w:val="14"/>
                </w:rPr>
                <w:t>1</w: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end"/>
              </w:r>
            </w:p>
          </w:tc>
        </w:tr>
      </w:tbl>
      <w:p w14:paraId="2963FBF3" w14:textId="77777777" w:rsidR="005648BC" w:rsidRDefault="00D4241B" w:rsidP="00A46BF7">
        <w:pPr>
          <w:pStyle w:val="Piedepgina"/>
          <w:widowControl/>
          <w:rPr>
            <w:sz w:val="8"/>
            <w:szCs w:val="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534C" w14:textId="77777777" w:rsidR="00B20175" w:rsidRDefault="00B20175" w:rsidP="00FB7137">
      <w:pPr>
        <w:spacing w:after="0" w:line="240" w:lineRule="auto"/>
      </w:pPr>
      <w:r>
        <w:separator/>
      </w:r>
    </w:p>
  </w:footnote>
  <w:footnote w:type="continuationSeparator" w:id="0">
    <w:p w14:paraId="237C550B" w14:textId="77777777" w:rsidR="00B20175" w:rsidRDefault="00B20175" w:rsidP="00FB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6534"/>
    </w:tblGrid>
    <w:tr w:rsidR="005648BC" w:rsidRPr="008B7EA8" w14:paraId="57532B97" w14:textId="77777777" w:rsidTr="00E65C79">
      <w:tc>
        <w:tcPr>
          <w:tcW w:w="2526" w:type="dxa"/>
        </w:tcPr>
        <w:p w14:paraId="3D6A07EB" w14:textId="77777777" w:rsidR="005648BC" w:rsidRDefault="005648BC" w:rsidP="00A46BF7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7D21E8C" wp14:editId="12EAA2A6">
                <wp:extent cx="1458000" cy="720000"/>
                <wp:effectExtent l="0" t="0" r="0" b="4445"/>
                <wp:docPr id="1" name="Imagen 1" descr="C:\Users\NMONTERDE\AppData\Local\Microsoft\Windows\Temporary Internet Files\Content.Outlook\301CV8I0\logo puer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MONTERDE\AppData\Local\Microsoft\Windows\Temporary Internet Files\Content.Outlook\301CV8I0\logo puer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</w:tcPr>
        <w:p w14:paraId="27BEA1D5" w14:textId="13BB190F" w:rsidR="005648BC" w:rsidRPr="00721275" w:rsidRDefault="005648BC" w:rsidP="00721275">
          <w:pPr>
            <w:jc w:val="center"/>
            <w:rPr>
              <w:highlight w:val="yellow"/>
            </w:rPr>
          </w:pPr>
          <w:r w:rsidRPr="0013747D">
            <w:rPr>
              <w:rFonts w:ascii="Arial" w:eastAsia="Arial" w:hAnsi="Arial" w:cs="Arial"/>
              <w:b/>
              <w:bCs/>
              <w:color w:val="1C2674"/>
              <w:position w:val="-1"/>
              <w:u w:val="single"/>
            </w:rPr>
            <w:t>INFORME</w:t>
          </w:r>
        </w:p>
      </w:tc>
    </w:tr>
    <w:tr w:rsidR="005648BC" w14:paraId="66AAA975" w14:textId="77777777" w:rsidTr="00E65C79">
      <w:trPr>
        <w:trHeight w:val="96"/>
      </w:trPr>
      <w:tc>
        <w:tcPr>
          <w:tcW w:w="2526" w:type="dxa"/>
          <w:vAlign w:val="bottom"/>
        </w:tcPr>
        <w:p w14:paraId="2CBC1713" w14:textId="77777777" w:rsidR="005648BC" w:rsidRDefault="005648BC" w:rsidP="00A46BF7">
          <w:pPr>
            <w:jc w:val="center"/>
            <w:rPr>
              <w:noProof/>
              <w:lang w:eastAsia="es-ES"/>
            </w:rPr>
          </w:pPr>
          <w:r w:rsidRPr="00E33BC5">
            <w:rPr>
              <w:rFonts w:ascii="Arial" w:hAnsi="Arial" w:cs="Arial"/>
              <w:b/>
              <w:color w:val="1C2674"/>
              <w:sz w:val="12"/>
              <w:szCs w:val="12"/>
            </w:rPr>
            <w:t>DIR3: EA0001321</w:t>
          </w:r>
        </w:p>
      </w:tc>
      <w:tc>
        <w:tcPr>
          <w:tcW w:w="6534" w:type="dxa"/>
          <w:vAlign w:val="center"/>
        </w:tcPr>
        <w:p w14:paraId="46CDF7DD" w14:textId="77777777" w:rsidR="005648BC" w:rsidRPr="00973106" w:rsidRDefault="005648BC" w:rsidP="00A46BF7">
          <w:pPr>
            <w:jc w:val="right"/>
            <w:rPr>
              <w:rFonts w:ascii="Arial" w:eastAsia="Arial" w:hAnsi="Arial" w:cs="Arial"/>
              <w:bCs/>
              <w:position w:val="-1"/>
              <w:sz w:val="16"/>
              <w:szCs w:val="16"/>
            </w:rPr>
          </w:pPr>
        </w:p>
      </w:tc>
    </w:tr>
  </w:tbl>
  <w:p w14:paraId="3C33D4FB" w14:textId="4907107D" w:rsidR="005648BC" w:rsidRPr="00A46BF7" w:rsidRDefault="005648BC" w:rsidP="00F949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D608F"/>
    <w:multiLevelType w:val="hybridMultilevel"/>
    <w:tmpl w:val="E976E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80EC2"/>
    <w:multiLevelType w:val="hybridMultilevel"/>
    <w:tmpl w:val="A0CEAF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E6830"/>
    <w:multiLevelType w:val="hybridMultilevel"/>
    <w:tmpl w:val="42EEEE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11952">
    <w:abstractNumId w:val="2"/>
  </w:num>
  <w:num w:numId="2" w16cid:durableId="1724252814">
    <w:abstractNumId w:val="0"/>
  </w:num>
  <w:num w:numId="3" w16cid:durableId="167314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19"/>
    <w:rsid w:val="00007818"/>
    <w:rsid w:val="00012FA4"/>
    <w:rsid w:val="00022064"/>
    <w:rsid w:val="00024233"/>
    <w:rsid w:val="000419FF"/>
    <w:rsid w:val="00051AAD"/>
    <w:rsid w:val="00052EE1"/>
    <w:rsid w:val="00054269"/>
    <w:rsid w:val="0008693F"/>
    <w:rsid w:val="00093BE9"/>
    <w:rsid w:val="000A34A9"/>
    <w:rsid w:val="000B147D"/>
    <w:rsid w:val="000E0130"/>
    <w:rsid w:val="000E38EB"/>
    <w:rsid w:val="00102072"/>
    <w:rsid w:val="00102757"/>
    <w:rsid w:val="0010287A"/>
    <w:rsid w:val="001110BF"/>
    <w:rsid w:val="00120E02"/>
    <w:rsid w:val="0012561F"/>
    <w:rsid w:val="0013747D"/>
    <w:rsid w:val="001466B0"/>
    <w:rsid w:val="00146997"/>
    <w:rsid w:val="00162D7B"/>
    <w:rsid w:val="00167279"/>
    <w:rsid w:val="00170BC6"/>
    <w:rsid w:val="00172EB0"/>
    <w:rsid w:val="00177A31"/>
    <w:rsid w:val="00182DB8"/>
    <w:rsid w:val="001922ED"/>
    <w:rsid w:val="00194ED8"/>
    <w:rsid w:val="001B7D38"/>
    <w:rsid w:val="001C5674"/>
    <w:rsid w:val="001C593D"/>
    <w:rsid w:val="001D3192"/>
    <w:rsid w:val="001D7F27"/>
    <w:rsid w:val="001E5FCC"/>
    <w:rsid w:val="001E6178"/>
    <w:rsid w:val="001F2A8F"/>
    <w:rsid w:val="001F7B29"/>
    <w:rsid w:val="00202CA2"/>
    <w:rsid w:val="002219CA"/>
    <w:rsid w:val="00225B7E"/>
    <w:rsid w:val="00252A99"/>
    <w:rsid w:val="00260216"/>
    <w:rsid w:val="00267F27"/>
    <w:rsid w:val="00270519"/>
    <w:rsid w:val="00272DA9"/>
    <w:rsid w:val="00284D44"/>
    <w:rsid w:val="00286724"/>
    <w:rsid w:val="002951A0"/>
    <w:rsid w:val="00295957"/>
    <w:rsid w:val="002A1AC2"/>
    <w:rsid w:val="002A4FF3"/>
    <w:rsid w:val="002B35FD"/>
    <w:rsid w:val="002C012F"/>
    <w:rsid w:val="002C5B0D"/>
    <w:rsid w:val="002D0386"/>
    <w:rsid w:val="002F1E0A"/>
    <w:rsid w:val="00324659"/>
    <w:rsid w:val="00326D7E"/>
    <w:rsid w:val="00332FD2"/>
    <w:rsid w:val="00341D59"/>
    <w:rsid w:val="00364097"/>
    <w:rsid w:val="003653C1"/>
    <w:rsid w:val="00367F19"/>
    <w:rsid w:val="00370970"/>
    <w:rsid w:val="00374AEA"/>
    <w:rsid w:val="00375A8A"/>
    <w:rsid w:val="00386D7A"/>
    <w:rsid w:val="003A7A5C"/>
    <w:rsid w:val="003F56A2"/>
    <w:rsid w:val="0043256A"/>
    <w:rsid w:val="0043380F"/>
    <w:rsid w:val="004458CF"/>
    <w:rsid w:val="00447F6C"/>
    <w:rsid w:val="00462EC5"/>
    <w:rsid w:val="004A2A88"/>
    <w:rsid w:val="004A51FF"/>
    <w:rsid w:val="004A58D0"/>
    <w:rsid w:val="004A7463"/>
    <w:rsid w:val="004B4317"/>
    <w:rsid w:val="004C435C"/>
    <w:rsid w:val="004C74AD"/>
    <w:rsid w:val="004D58AF"/>
    <w:rsid w:val="004D6412"/>
    <w:rsid w:val="004F0E29"/>
    <w:rsid w:val="004F3815"/>
    <w:rsid w:val="00504EE4"/>
    <w:rsid w:val="0051663B"/>
    <w:rsid w:val="00521E82"/>
    <w:rsid w:val="00533D7F"/>
    <w:rsid w:val="00556A88"/>
    <w:rsid w:val="005648BC"/>
    <w:rsid w:val="005B0D96"/>
    <w:rsid w:val="005C3D58"/>
    <w:rsid w:val="005C6D74"/>
    <w:rsid w:val="005E7551"/>
    <w:rsid w:val="005F402E"/>
    <w:rsid w:val="0060563D"/>
    <w:rsid w:val="00611B95"/>
    <w:rsid w:val="006315AC"/>
    <w:rsid w:val="00663BA0"/>
    <w:rsid w:val="00673901"/>
    <w:rsid w:val="00681DA6"/>
    <w:rsid w:val="00690106"/>
    <w:rsid w:val="00690BEC"/>
    <w:rsid w:val="006920FC"/>
    <w:rsid w:val="00695B08"/>
    <w:rsid w:val="006A62DA"/>
    <w:rsid w:val="006B42D1"/>
    <w:rsid w:val="006C13E1"/>
    <w:rsid w:val="006C5020"/>
    <w:rsid w:val="006D5000"/>
    <w:rsid w:val="006D7D75"/>
    <w:rsid w:val="006E4E2F"/>
    <w:rsid w:val="00707370"/>
    <w:rsid w:val="00707882"/>
    <w:rsid w:val="007129F1"/>
    <w:rsid w:val="00721275"/>
    <w:rsid w:val="00730A76"/>
    <w:rsid w:val="00734AA2"/>
    <w:rsid w:val="00751652"/>
    <w:rsid w:val="0075449C"/>
    <w:rsid w:val="007665DE"/>
    <w:rsid w:val="00783DF5"/>
    <w:rsid w:val="00793D54"/>
    <w:rsid w:val="007A49E3"/>
    <w:rsid w:val="007A7450"/>
    <w:rsid w:val="007B29D0"/>
    <w:rsid w:val="007D24B1"/>
    <w:rsid w:val="007D4400"/>
    <w:rsid w:val="007E2802"/>
    <w:rsid w:val="00802AC6"/>
    <w:rsid w:val="00820737"/>
    <w:rsid w:val="00831D3A"/>
    <w:rsid w:val="00835537"/>
    <w:rsid w:val="00843344"/>
    <w:rsid w:val="00850829"/>
    <w:rsid w:val="0087117E"/>
    <w:rsid w:val="00882343"/>
    <w:rsid w:val="008A2836"/>
    <w:rsid w:val="008A4E0E"/>
    <w:rsid w:val="008B4645"/>
    <w:rsid w:val="008B6F27"/>
    <w:rsid w:val="008B767C"/>
    <w:rsid w:val="008B7EA8"/>
    <w:rsid w:val="008C5A47"/>
    <w:rsid w:val="008D5664"/>
    <w:rsid w:val="008E7E4C"/>
    <w:rsid w:val="008F0B72"/>
    <w:rsid w:val="00901EDF"/>
    <w:rsid w:val="00903F99"/>
    <w:rsid w:val="00913ADF"/>
    <w:rsid w:val="009221FE"/>
    <w:rsid w:val="009256A0"/>
    <w:rsid w:val="00926ED8"/>
    <w:rsid w:val="00932405"/>
    <w:rsid w:val="0094058D"/>
    <w:rsid w:val="00960C87"/>
    <w:rsid w:val="009646C0"/>
    <w:rsid w:val="009705B6"/>
    <w:rsid w:val="00971CBF"/>
    <w:rsid w:val="00981B23"/>
    <w:rsid w:val="009863FC"/>
    <w:rsid w:val="009A4D7C"/>
    <w:rsid w:val="009E42EF"/>
    <w:rsid w:val="00A03E46"/>
    <w:rsid w:val="00A07B19"/>
    <w:rsid w:val="00A16B45"/>
    <w:rsid w:val="00A1735A"/>
    <w:rsid w:val="00A23FD2"/>
    <w:rsid w:val="00A34A1A"/>
    <w:rsid w:val="00A3712B"/>
    <w:rsid w:val="00A46BF7"/>
    <w:rsid w:val="00A50C82"/>
    <w:rsid w:val="00A7459F"/>
    <w:rsid w:val="00A805BE"/>
    <w:rsid w:val="00A81706"/>
    <w:rsid w:val="00AA1833"/>
    <w:rsid w:val="00AA2AF4"/>
    <w:rsid w:val="00AB04E6"/>
    <w:rsid w:val="00AC4224"/>
    <w:rsid w:val="00AD7109"/>
    <w:rsid w:val="00AF70AE"/>
    <w:rsid w:val="00B20175"/>
    <w:rsid w:val="00B25CEE"/>
    <w:rsid w:val="00B26873"/>
    <w:rsid w:val="00B3219D"/>
    <w:rsid w:val="00B57B96"/>
    <w:rsid w:val="00B6580F"/>
    <w:rsid w:val="00BA581E"/>
    <w:rsid w:val="00BD7444"/>
    <w:rsid w:val="00BD7D58"/>
    <w:rsid w:val="00BE14F8"/>
    <w:rsid w:val="00BE54BA"/>
    <w:rsid w:val="00BF04CB"/>
    <w:rsid w:val="00BF7276"/>
    <w:rsid w:val="00C04EA6"/>
    <w:rsid w:val="00C23AFA"/>
    <w:rsid w:val="00C53130"/>
    <w:rsid w:val="00C841B3"/>
    <w:rsid w:val="00C907C7"/>
    <w:rsid w:val="00C90B03"/>
    <w:rsid w:val="00CA1B41"/>
    <w:rsid w:val="00CB039E"/>
    <w:rsid w:val="00CB5416"/>
    <w:rsid w:val="00CE6F06"/>
    <w:rsid w:val="00CF5C06"/>
    <w:rsid w:val="00D4241B"/>
    <w:rsid w:val="00D55147"/>
    <w:rsid w:val="00D56F87"/>
    <w:rsid w:val="00D66A08"/>
    <w:rsid w:val="00D82E89"/>
    <w:rsid w:val="00D84E29"/>
    <w:rsid w:val="00D93411"/>
    <w:rsid w:val="00DC0FCD"/>
    <w:rsid w:val="00DC56E4"/>
    <w:rsid w:val="00DC6E09"/>
    <w:rsid w:val="00DD15A3"/>
    <w:rsid w:val="00E037DE"/>
    <w:rsid w:val="00E10941"/>
    <w:rsid w:val="00E311B1"/>
    <w:rsid w:val="00E32D07"/>
    <w:rsid w:val="00E42355"/>
    <w:rsid w:val="00E64839"/>
    <w:rsid w:val="00E73236"/>
    <w:rsid w:val="00E82031"/>
    <w:rsid w:val="00E87519"/>
    <w:rsid w:val="00E96478"/>
    <w:rsid w:val="00EB7C37"/>
    <w:rsid w:val="00EC130E"/>
    <w:rsid w:val="00EC3B10"/>
    <w:rsid w:val="00EC5873"/>
    <w:rsid w:val="00EE5F7C"/>
    <w:rsid w:val="00F0361F"/>
    <w:rsid w:val="00F0446D"/>
    <w:rsid w:val="00F30C7A"/>
    <w:rsid w:val="00F36450"/>
    <w:rsid w:val="00F54B7B"/>
    <w:rsid w:val="00F820DF"/>
    <w:rsid w:val="00F91E22"/>
    <w:rsid w:val="00F94974"/>
    <w:rsid w:val="00FA5085"/>
    <w:rsid w:val="00FB0A0F"/>
    <w:rsid w:val="00FB5B64"/>
    <w:rsid w:val="00FB7137"/>
    <w:rsid w:val="00FD31E4"/>
    <w:rsid w:val="00FD47A8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651C7"/>
  <w15:docId w15:val="{26ACEF19-C417-4FB5-A9E6-836E1F0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1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137"/>
  </w:style>
  <w:style w:type="paragraph" w:styleId="Piedepgina">
    <w:name w:val="footer"/>
    <w:basedOn w:val="Normal"/>
    <w:link w:val="Piedepgina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137"/>
  </w:style>
  <w:style w:type="paragraph" w:styleId="Textodeglobo">
    <w:name w:val="Balloon Text"/>
    <w:basedOn w:val="Normal"/>
    <w:link w:val="TextodegloboCar"/>
    <w:uiPriority w:val="99"/>
    <w:semiHidden/>
    <w:unhideWhenUsed/>
    <w:rsid w:val="00FB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1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1B41"/>
    <w:rPr>
      <w:color w:val="0000FF"/>
      <w:u w:val="single"/>
    </w:rPr>
  </w:style>
  <w:style w:type="paragraph" w:customStyle="1" w:styleId="AsuntoAPV">
    <w:name w:val="Asunto APV"/>
    <w:basedOn w:val="Normal"/>
    <w:link w:val="AsuntoAPVCar"/>
    <w:qFormat/>
    <w:rsid w:val="00F0361F"/>
    <w:pPr>
      <w:spacing w:before="120" w:after="120" w:line="220" w:lineRule="atLeast"/>
      <w:ind w:left="1128" w:right="-23"/>
      <w:jc w:val="both"/>
    </w:pPr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paragraph" w:customStyle="1" w:styleId="OficioAPV">
    <w:name w:val="Oficio APV"/>
    <w:basedOn w:val="Normal"/>
    <w:link w:val="OficioAPVCar"/>
    <w:qFormat/>
    <w:rsid w:val="00F0361F"/>
    <w:pPr>
      <w:spacing w:before="120" w:after="120" w:line="220" w:lineRule="atLeast"/>
      <w:ind w:left="1128"/>
      <w:jc w:val="both"/>
    </w:pPr>
    <w:rPr>
      <w:rFonts w:ascii="Arial" w:eastAsia="Arial" w:hAnsi="Arial" w:cs="Arial"/>
      <w:color w:val="231F20"/>
      <w:sz w:val="20"/>
      <w:szCs w:val="20"/>
      <w:lang w:val="es-ES"/>
    </w:rPr>
  </w:style>
  <w:style w:type="character" w:customStyle="1" w:styleId="AsuntoAPVCar">
    <w:name w:val="Asunto APV Car"/>
    <w:basedOn w:val="Fuentedeprrafopredeter"/>
    <w:link w:val="AsuntoAPV"/>
    <w:rsid w:val="00F0361F"/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character" w:customStyle="1" w:styleId="OficioAPVCar">
    <w:name w:val="Oficio APV Car"/>
    <w:basedOn w:val="Fuentedeprrafopredeter"/>
    <w:link w:val="OficioAPV"/>
    <w:rsid w:val="00F0361F"/>
    <w:rPr>
      <w:rFonts w:ascii="Arial" w:eastAsia="Arial" w:hAnsi="Arial" w:cs="Arial"/>
      <w:color w:val="231F20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A46BF7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A508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rsid w:val="001F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evante\Secretar\00_EXPEDIENTES%20ADMINISTRATIVOS\ESAN\2023\00%20ARCHIVOS%20EXCEL\SEGUIMIENTO%20ENV&#205;OS%20SANCIONADORES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Promedio días tramitación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5.8247594050743659E-2"/>
          <c:y val="0.10299500233703664"/>
          <c:w val="0.90286351706036749"/>
          <c:h val="0.63263653687124732"/>
        </c:manualLayout>
      </c:layout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Hoja2!$M$24:$M$28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Hoja2!$N$24:$N$28</c:f>
              <c:numCache>
                <c:formatCode>General</c:formatCode>
                <c:ptCount val="5"/>
                <c:pt idx="0">
                  <c:v>43</c:v>
                </c:pt>
                <c:pt idx="1">
                  <c:v>69</c:v>
                </c:pt>
                <c:pt idx="2">
                  <c:v>35</c:v>
                </c:pt>
                <c:pt idx="3">
                  <c:v>30</c:v>
                </c:pt>
                <c:pt idx="4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E6-494C-AF37-82C015181D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67276975"/>
        <c:axId val="668098431"/>
      </c:lineChart>
      <c:catAx>
        <c:axId val="467276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68098431"/>
        <c:crosses val="autoZero"/>
        <c:auto val="1"/>
        <c:lblAlgn val="ctr"/>
        <c:lblOffset val="100"/>
        <c:noMultiLvlLbl val="0"/>
      </c:catAx>
      <c:valAx>
        <c:axId val="668098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67276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E353-1547-40D5-8516-99D632C3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PDF.indd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PDF.indd</dc:title>
  <dc:creator>Francisco Macian</dc:creator>
  <cp:lastModifiedBy>José María Tonda Serneguet</cp:lastModifiedBy>
  <cp:revision>2</cp:revision>
  <cp:lastPrinted>2024-02-16T12:07:00Z</cp:lastPrinted>
  <dcterms:created xsi:type="dcterms:W3CDTF">2024-02-16T12:19:00Z</dcterms:created>
  <dcterms:modified xsi:type="dcterms:W3CDTF">2024-02-16T12:19:00Z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2014-03-25T00:00:00Z</vt:filetime>
  </property>
</Properties>
</file>